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50374" w14:textId="77777777" w:rsidR="004C5E84" w:rsidRPr="00031AC7" w:rsidRDefault="008B6369" w:rsidP="004065C4">
      <w:pPr>
        <w:pStyle w:val="BodyText"/>
        <w:spacing w:before="0" w:line="180" w:lineRule="exact"/>
        <w:ind w:left="0"/>
      </w:pPr>
      <w:r w:rsidRPr="00031AC7">
        <w:rPr>
          <w:noProof/>
          <w:position w:val="-3"/>
          <w:lang w:bidi="ar-SA"/>
        </w:rPr>
        <w:drawing>
          <wp:inline distT="0" distB="0" distL="0" distR="0" wp14:anchorId="285C8697" wp14:editId="06604D69">
            <wp:extent cx="5876925" cy="113018"/>
            <wp:effectExtent l="0" t="0" r="0" b="1905"/>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979357" cy="114988"/>
                    </a:xfrm>
                    <a:prstGeom prst="rect">
                      <a:avLst/>
                    </a:prstGeom>
                  </pic:spPr>
                </pic:pic>
              </a:graphicData>
            </a:graphic>
          </wp:inline>
        </w:drawing>
      </w:r>
    </w:p>
    <w:p w14:paraId="161BC55C" w14:textId="77777777" w:rsidR="00031AC7" w:rsidRPr="00031AC7" w:rsidRDefault="008B6369" w:rsidP="00031AC7">
      <w:pPr>
        <w:pStyle w:val="Heading1"/>
        <w:ind w:right="90"/>
        <w:jc w:val="center"/>
      </w:pPr>
      <w:r w:rsidRPr="00031AC7">
        <w:t xml:space="preserve">GUIDELINES FOR POLICY </w:t>
      </w:r>
      <w:r w:rsidR="004065C4" w:rsidRPr="00031AC7">
        <w:t>P</w:t>
      </w:r>
      <w:r w:rsidRPr="00031AC7">
        <w:t xml:space="preserve">APERS SUBMITTED </w:t>
      </w:r>
    </w:p>
    <w:p w14:paraId="6E5257B3" w14:textId="3D8AEFBC" w:rsidR="004C5E84" w:rsidRPr="00031AC7" w:rsidRDefault="008B6369" w:rsidP="00031AC7">
      <w:pPr>
        <w:pStyle w:val="Heading1"/>
        <w:ind w:right="90"/>
        <w:jc w:val="center"/>
        <w:rPr>
          <w:sz w:val="24"/>
          <w:szCs w:val="24"/>
        </w:rPr>
      </w:pPr>
      <w:r w:rsidRPr="00031AC7">
        <w:t>TO THE</w:t>
      </w:r>
      <w:r w:rsidR="00031AC7" w:rsidRPr="00031AC7">
        <w:t xml:space="preserve"> </w:t>
      </w:r>
      <w:r w:rsidRPr="00031AC7">
        <w:t>HOUSE OF DELEGATES</w:t>
      </w:r>
    </w:p>
    <w:p w14:paraId="67FB50B5" w14:textId="77777777" w:rsidR="004C5E84" w:rsidRPr="00031AC7" w:rsidRDefault="004C5E84">
      <w:pPr>
        <w:pStyle w:val="BodyText"/>
        <w:spacing w:before="5"/>
        <w:ind w:left="0"/>
        <w:rPr>
          <w:b/>
        </w:rPr>
      </w:pPr>
    </w:p>
    <w:p w14:paraId="38580862" w14:textId="744CA119" w:rsidR="004F3F1D" w:rsidRDefault="008D2E89" w:rsidP="004065C4">
      <w:pPr>
        <w:rPr>
          <w:sz w:val="24"/>
          <w:szCs w:val="24"/>
        </w:rPr>
      </w:pPr>
      <w:r w:rsidRPr="00031AC7">
        <w:rPr>
          <w:noProof/>
          <w:sz w:val="24"/>
          <w:szCs w:val="24"/>
          <w:lang w:bidi="ar-SA"/>
        </w:rPr>
        <mc:AlternateContent>
          <mc:Choice Requires="wps">
            <w:drawing>
              <wp:anchor distT="0" distB="0" distL="114300" distR="114300" simplePos="0" relativeHeight="1024" behindDoc="0" locked="0" layoutInCell="1" allowOverlap="1" wp14:anchorId="316A0C7D" wp14:editId="30F63571">
                <wp:simplePos x="0" y="0"/>
                <wp:positionH relativeFrom="page">
                  <wp:posOffset>914400</wp:posOffset>
                </wp:positionH>
                <wp:positionV relativeFrom="paragraph">
                  <wp:posOffset>162560</wp:posOffset>
                </wp:positionV>
                <wp:extent cx="1248410" cy="0"/>
                <wp:effectExtent l="9525" t="8890" r="8890" b="1016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841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4744F" id="Line 3" o:spid="_x0000_s1026" style="position:absolute;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2.8pt" to="170.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9CeEgIAACgEAAAOAAAAZHJzL2Uyb0RvYy54bWysU8GO2yAQvVfqPyDuie2s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" strokeweight=".6pt">
                <w10:wrap anchorx="page"/>
              </v:line>
            </w:pict>
          </mc:Fallback>
        </mc:AlternateContent>
      </w:r>
      <w:r w:rsidR="0025018A">
        <w:rPr>
          <w:sz w:val="24"/>
          <w:szCs w:val="24"/>
        </w:rPr>
        <w:t xml:space="preserve">Policy Paper </w:t>
      </w:r>
      <w:r w:rsidR="008B6369" w:rsidRPr="0025018A">
        <w:rPr>
          <w:sz w:val="24"/>
          <w:szCs w:val="24"/>
          <w:u w:val="single"/>
        </w:rPr>
        <w:t>Resolution Deadline</w:t>
      </w:r>
      <w:r w:rsidR="008B6369" w:rsidRPr="00031AC7">
        <w:rPr>
          <w:sz w:val="24"/>
          <w:szCs w:val="24"/>
        </w:rPr>
        <w:t xml:space="preserve">: </w:t>
      </w:r>
    </w:p>
    <w:p w14:paraId="7477E0AC" w14:textId="72660292" w:rsidR="004F3F1D" w:rsidRPr="004F3F1D" w:rsidRDefault="004F3F1D" w:rsidP="004065C4">
      <w:pPr>
        <w:pStyle w:val="ListParagraph"/>
        <w:numPr>
          <w:ilvl w:val="0"/>
          <w:numId w:val="9"/>
        </w:numPr>
        <w:rPr>
          <w:b/>
          <w:bCs/>
          <w:sz w:val="24"/>
          <w:szCs w:val="24"/>
        </w:rPr>
      </w:pPr>
      <w:r w:rsidRPr="004F3F1D">
        <w:rPr>
          <w:sz w:val="24"/>
          <w:szCs w:val="24"/>
        </w:rPr>
        <w:t>May 202</w:t>
      </w:r>
      <w:r w:rsidR="0025018A">
        <w:rPr>
          <w:sz w:val="24"/>
          <w:szCs w:val="24"/>
        </w:rPr>
        <w:t>2</w:t>
      </w:r>
      <w:r w:rsidRPr="004F3F1D">
        <w:rPr>
          <w:sz w:val="24"/>
          <w:szCs w:val="24"/>
        </w:rPr>
        <w:t xml:space="preserve"> HOD Meeting:</w:t>
      </w:r>
      <w:r w:rsidRPr="004F3F1D">
        <w:rPr>
          <w:b/>
          <w:bCs/>
          <w:sz w:val="24"/>
          <w:szCs w:val="24"/>
        </w:rPr>
        <w:t xml:space="preserve"> March 2</w:t>
      </w:r>
      <w:r w:rsidR="00CB0E56">
        <w:rPr>
          <w:b/>
          <w:bCs/>
          <w:sz w:val="24"/>
          <w:szCs w:val="24"/>
        </w:rPr>
        <w:t>1</w:t>
      </w:r>
      <w:r w:rsidRPr="004F3F1D">
        <w:rPr>
          <w:b/>
          <w:bCs/>
          <w:sz w:val="24"/>
          <w:szCs w:val="24"/>
        </w:rPr>
        <w:t>, 202</w:t>
      </w:r>
      <w:r w:rsidR="0025018A">
        <w:rPr>
          <w:b/>
          <w:bCs/>
          <w:sz w:val="24"/>
          <w:szCs w:val="24"/>
        </w:rPr>
        <w:t>2</w:t>
      </w:r>
    </w:p>
    <w:p w14:paraId="47488F26" w14:textId="77777777" w:rsidR="004C5E84" w:rsidRPr="00031AC7" w:rsidRDefault="004C5E84" w:rsidP="004065C4">
      <w:pPr>
        <w:pStyle w:val="BodyText"/>
        <w:spacing w:before="2"/>
        <w:ind w:left="0"/>
        <w:rPr>
          <w:b/>
        </w:rPr>
      </w:pPr>
    </w:p>
    <w:p w14:paraId="45A874C1" w14:textId="313D84D7" w:rsidR="004C5E84" w:rsidRPr="00031AC7" w:rsidRDefault="008B6369" w:rsidP="00031AC7">
      <w:pPr>
        <w:pStyle w:val="BodyText"/>
        <w:spacing w:before="90"/>
        <w:ind w:left="0" w:right="203"/>
      </w:pPr>
      <w:r w:rsidRPr="00031AC7">
        <w:t xml:space="preserve">The purpose of this document is to provide standard guidelines for the submission of policy papers to the House of Delegates. </w:t>
      </w:r>
      <w:r w:rsidR="00F83372" w:rsidRPr="00031AC7">
        <w:t>C</w:t>
      </w:r>
      <w:r w:rsidRPr="00031AC7">
        <w:t>onsistency is needed to assist the House Officers and delegates with the preparation and review of the papers for the House of Delegates meeting.</w:t>
      </w:r>
    </w:p>
    <w:p w14:paraId="6A93E2AF" w14:textId="77777777" w:rsidR="004C5E84" w:rsidRPr="00031AC7" w:rsidRDefault="004C5E84" w:rsidP="004065C4">
      <w:pPr>
        <w:pStyle w:val="BodyText"/>
        <w:spacing w:before="0"/>
        <w:ind w:left="0"/>
      </w:pPr>
    </w:p>
    <w:p w14:paraId="466C33DB" w14:textId="77777777" w:rsidR="004C5E84" w:rsidRPr="00031AC7" w:rsidRDefault="008B6369" w:rsidP="004065C4">
      <w:pPr>
        <w:pStyle w:val="BodyText"/>
        <w:spacing w:before="1"/>
        <w:ind w:left="0"/>
      </w:pPr>
      <w:r w:rsidRPr="00031AC7">
        <w:t>The following standards must be applied to all policy papers:</w:t>
      </w:r>
    </w:p>
    <w:p w14:paraId="400E420F" w14:textId="77777777" w:rsidR="004C5E84" w:rsidRPr="00031AC7" w:rsidRDefault="004C5E84" w:rsidP="004065C4">
      <w:pPr>
        <w:pStyle w:val="BodyText"/>
        <w:spacing w:before="1"/>
        <w:ind w:left="0"/>
      </w:pPr>
    </w:p>
    <w:p w14:paraId="7E0909B2" w14:textId="77777777" w:rsidR="004C5E84" w:rsidRPr="00031AC7" w:rsidRDefault="008B6369" w:rsidP="00031AC7">
      <w:pPr>
        <w:pStyle w:val="ListParagraph"/>
        <w:numPr>
          <w:ilvl w:val="0"/>
          <w:numId w:val="7"/>
        </w:numPr>
        <w:tabs>
          <w:tab w:val="left" w:pos="1559"/>
          <w:tab w:val="left" w:pos="1560"/>
        </w:tabs>
        <w:spacing w:before="1" w:line="293" w:lineRule="exact"/>
        <w:ind w:left="540"/>
        <w:rPr>
          <w:sz w:val="24"/>
          <w:szCs w:val="24"/>
        </w:rPr>
      </w:pPr>
      <w:r w:rsidRPr="00031AC7">
        <w:rPr>
          <w:sz w:val="24"/>
          <w:szCs w:val="24"/>
        </w:rPr>
        <w:t>Title of Paper at the top of the first page, centered, Times New Roman, 14 point,</w:t>
      </w:r>
      <w:r w:rsidRPr="00031AC7">
        <w:rPr>
          <w:spacing w:val="-12"/>
          <w:sz w:val="24"/>
          <w:szCs w:val="24"/>
        </w:rPr>
        <w:t xml:space="preserve"> </w:t>
      </w:r>
      <w:r w:rsidRPr="00031AC7">
        <w:rPr>
          <w:sz w:val="24"/>
          <w:szCs w:val="24"/>
        </w:rPr>
        <w:t>bold.</w:t>
      </w:r>
    </w:p>
    <w:p w14:paraId="3BC5E01C" w14:textId="716F65B3" w:rsidR="004C5E84" w:rsidRPr="00031AC7" w:rsidRDefault="008B6369" w:rsidP="00031AC7">
      <w:pPr>
        <w:pStyle w:val="ListParagraph"/>
        <w:numPr>
          <w:ilvl w:val="0"/>
          <w:numId w:val="7"/>
        </w:numPr>
        <w:tabs>
          <w:tab w:val="left" w:pos="1559"/>
          <w:tab w:val="left" w:pos="1560"/>
        </w:tabs>
        <w:spacing w:before="0"/>
        <w:ind w:left="540" w:right="439"/>
        <w:rPr>
          <w:sz w:val="24"/>
          <w:szCs w:val="24"/>
        </w:rPr>
      </w:pPr>
      <w:r w:rsidRPr="00031AC7">
        <w:rPr>
          <w:sz w:val="24"/>
          <w:szCs w:val="24"/>
        </w:rPr>
        <w:t xml:space="preserve">An executive summary of essential statements </w:t>
      </w:r>
      <w:r w:rsidR="00BC0198">
        <w:rPr>
          <w:sz w:val="24"/>
          <w:szCs w:val="24"/>
        </w:rPr>
        <w:t xml:space="preserve">is required </w:t>
      </w:r>
      <w:r w:rsidRPr="00031AC7">
        <w:rPr>
          <w:sz w:val="24"/>
          <w:szCs w:val="24"/>
        </w:rPr>
        <w:t xml:space="preserve">following the Executive Summary title, </w:t>
      </w:r>
      <w:r w:rsidR="00AE2408" w:rsidRPr="00031AC7">
        <w:rPr>
          <w:sz w:val="24"/>
          <w:szCs w:val="24"/>
        </w:rPr>
        <w:t xml:space="preserve">in </w:t>
      </w:r>
      <w:r w:rsidRPr="00031AC7">
        <w:rPr>
          <w:sz w:val="24"/>
          <w:szCs w:val="24"/>
        </w:rPr>
        <w:t xml:space="preserve">bullet point format, </w:t>
      </w:r>
      <w:r w:rsidRPr="00BC0198">
        <w:rPr>
          <w:sz w:val="24"/>
          <w:szCs w:val="24"/>
          <w:u w:val="single"/>
        </w:rPr>
        <w:t>generally five points or</w:t>
      </w:r>
      <w:r w:rsidRPr="00BC0198">
        <w:rPr>
          <w:spacing w:val="-8"/>
          <w:sz w:val="24"/>
          <w:szCs w:val="24"/>
          <w:u w:val="single"/>
        </w:rPr>
        <w:t xml:space="preserve"> </w:t>
      </w:r>
      <w:r w:rsidRPr="00BC0198">
        <w:rPr>
          <w:sz w:val="24"/>
          <w:szCs w:val="24"/>
          <w:u w:val="single"/>
        </w:rPr>
        <w:t>less</w:t>
      </w:r>
    </w:p>
    <w:p w14:paraId="3133621F" w14:textId="77777777" w:rsidR="004C5E84" w:rsidRPr="00031AC7" w:rsidRDefault="008B6369" w:rsidP="00031AC7">
      <w:pPr>
        <w:pStyle w:val="ListParagraph"/>
        <w:numPr>
          <w:ilvl w:val="0"/>
          <w:numId w:val="7"/>
        </w:numPr>
        <w:tabs>
          <w:tab w:val="left" w:pos="1559"/>
          <w:tab w:val="left" w:pos="1560"/>
        </w:tabs>
        <w:spacing w:before="0"/>
        <w:ind w:left="540"/>
        <w:rPr>
          <w:sz w:val="24"/>
          <w:szCs w:val="24"/>
        </w:rPr>
      </w:pPr>
      <w:r w:rsidRPr="00031AC7">
        <w:rPr>
          <w:sz w:val="24"/>
          <w:szCs w:val="24"/>
        </w:rPr>
        <w:t>Standard</w:t>
      </w:r>
      <w:r w:rsidRPr="00031AC7">
        <w:rPr>
          <w:spacing w:val="-1"/>
          <w:sz w:val="24"/>
          <w:szCs w:val="24"/>
        </w:rPr>
        <w:t xml:space="preserve"> </w:t>
      </w:r>
      <w:r w:rsidRPr="00031AC7">
        <w:rPr>
          <w:sz w:val="24"/>
          <w:szCs w:val="24"/>
        </w:rPr>
        <w:t>disclaimer:</w:t>
      </w:r>
    </w:p>
    <w:p w14:paraId="06B8A834" w14:textId="77777777" w:rsidR="00031AC7" w:rsidRPr="00031AC7" w:rsidRDefault="00031AC7" w:rsidP="00031AC7">
      <w:pPr>
        <w:pStyle w:val="BodyText"/>
        <w:spacing w:before="2"/>
        <w:ind w:left="0"/>
        <w:jc w:val="center"/>
        <w:rPr>
          <w:b/>
          <w:bCs/>
          <w:u w:val="single"/>
        </w:rPr>
      </w:pPr>
    </w:p>
    <w:p w14:paraId="1B4811D6" w14:textId="6536E9EA" w:rsidR="004C5E84" w:rsidRPr="00031AC7" w:rsidRDefault="00031AC7" w:rsidP="00031AC7">
      <w:pPr>
        <w:pStyle w:val="BodyText"/>
        <w:spacing w:before="0"/>
        <w:ind w:left="0"/>
        <w:jc w:val="center"/>
      </w:pPr>
      <w:r w:rsidRPr="00031AC7">
        <w:rPr>
          <w:b/>
          <w:bCs/>
          <w:u w:val="single"/>
        </w:rPr>
        <w:t>Executive Summary of Policy Contained in this Paper</w:t>
      </w:r>
    </w:p>
    <w:p w14:paraId="6FB054E4" w14:textId="77777777" w:rsidR="004C5E84" w:rsidRPr="00031AC7" w:rsidRDefault="008B6369" w:rsidP="00031AC7">
      <w:pPr>
        <w:pStyle w:val="BodyText"/>
        <w:spacing w:before="0"/>
        <w:ind w:left="0"/>
        <w:jc w:val="center"/>
      </w:pPr>
      <w:r w:rsidRPr="00031AC7">
        <w:t>Summaries will lack rationale and background information and may lose nuance of policy.</w:t>
      </w:r>
    </w:p>
    <w:p w14:paraId="5AB5A570" w14:textId="77777777" w:rsidR="004C5E84" w:rsidRPr="00031AC7" w:rsidRDefault="008B6369" w:rsidP="00031AC7">
      <w:pPr>
        <w:pStyle w:val="BodyText"/>
        <w:spacing w:before="0"/>
        <w:ind w:left="0"/>
        <w:jc w:val="center"/>
      </w:pPr>
      <w:r w:rsidRPr="00031AC7">
        <w:t>You are highly encouraged to read the entire paper.</w:t>
      </w:r>
    </w:p>
    <w:p w14:paraId="0598A836" w14:textId="77777777" w:rsidR="004C5E84" w:rsidRPr="00031AC7" w:rsidRDefault="004C5E84" w:rsidP="004065C4">
      <w:pPr>
        <w:pStyle w:val="BodyText"/>
        <w:spacing w:before="2"/>
        <w:ind w:left="0"/>
      </w:pPr>
    </w:p>
    <w:p w14:paraId="4C79D005" w14:textId="77777777" w:rsidR="004C5E84" w:rsidRPr="00031AC7" w:rsidRDefault="008B6369" w:rsidP="00031AC7">
      <w:pPr>
        <w:pStyle w:val="ListParagraph"/>
        <w:numPr>
          <w:ilvl w:val="0"/>
          <w:numId w:val="7"/>
        </w:numPr>
        <w:tabs>
          <w:tab w:val="left" w:pos="1559"/>
          <w:tab w:val="left" w:pos="1560"/>
        </w:tabs>
        <w:spacing w:before="0" w:line="293" w:lineRule="exact"/>
        <w:ind w:left="540"/>
        <w:rPr>
          <w:sz w:val="24"/>
          <w:szCs w:val="24"/>
        </w:rPr>
      </w:pPr>
      <w:r w:rsidRPr="00031AC7">
        <w:rPr>
          <w:sz w:val="24"/>
          <w:szCs w:val="24"/>
        </w:rPr>
        <w:t>Font of body of paper: Times New Roman, 12 point, left aligned, no</w:t>
      </w:r>
      <w:r w:rsidRPr="00031AC7">
        <w:rPr>
          <w:spacing w:val="-12"/>
          <w:sz w:val="24"/>
          <w:szCs w:val="24"/>
        </w:rPr>
        <w:t xml:space="preserve"> </w:t>
      </w:r>
      <w:r w:rsidRPr="00031AC7">
        <w:rPr>
          <w:sz w:val="24"/>
          <w:szCs w:val="24"/>
        </w:rPr>
        <w:t>justification.</w:t>
      </w:r>
    </w:p>
    <w:p w14:paraId="782E36B1" w14:textId="77777777" w:rsidR="004C5E84" w:rsidRPr="00031AC7" w:rsidRDefault="008B6369" w:rsidP="00031AC7">
      <w:pPr>
        <w:pStyle w:val="ListParagraph"/>
        <w:numPr>
          <w:ilvl w:val="0"/>
          <w:numId w:val="7"/>
        </w:numPr>
        <w:tabs>
          <w:tab w:val="left" w:pos="1559"/>
          <w:tab w:val="left" w:pos="1560"/>
        </w:tabs>
        <w:spacing w:before="0" w:line="293" w:lineRule="exact"/>
        <w:ind w:left="540"/>
        <w:rPr>
          <w:sz w:val="24"/>
          <w:szCs w:val="24"/>
        </w:rPr>
      </w:pPr>
      <w:r w:rsidRPr="00031AC7">
        <w:rPr>
          <w:sz w:val="24"/>
          <w:szCs w:val="24"/>
        </w:rPr>
        <w:t>Line Spacing:</w:t>
      </w:r>
      <w:r w:rsidRPr="00031AC7">
        <w:rPr>
          <w:spacing w:val="-2"/>
          <w:sz w:val="24"/>
          <w:szCs w:val="24"/>
        </w:rPr>
        <w:t xml:space="preserve"> </w:t>
      </w:r>
      <w:r w:rsidRPr="00031AC7">
        <w:rPr>
          <w:sz w:val="24"/>
          <w:szCs w:val="24"/>
        </w:rPr>
        <w:t>1.5.</w:t>
      </w:r>
    </w:p>
    <w:p w14:paraId="1FF50D34" w14:textId="77777777" w:rsidR="004C5E84" w:rsidRPr="00031AC7" w:rsidRDefault="008B6369" w:rsidP="00031AC7">
      <w:pPr>
        <w:pStyle w:val="ListParagraph"/>
        <w:numPr>
          <w:ilvl w:val="0"/>
          <w:numId w:val="7"/>
        </w:numPr>
        <w:tabs>
          <w:tab w:val="left" w:pos="1559"/>
          <w:tab w:val="left" w:pos="1560"/>
        </w:tabs>
        <w:spacing w:before="0" w:line="293" w:lineRule="exact"/>
        <w:ind w:left="540"/>
        <w:rPr>
          <w:sz w:val="24"/>
          <w:szCs w:val="24"/>
        </w:rPr>
      </w:pPr>
      <w:r w:rsidRPr="00031AC7">
        <w:rPr>
          <w:sz w:val="24"/>
          <w:szCs w:val="24"/>
        </w:rPr>
        <w:t xml:space="preserve">If you have section headings, they should be left aligned, </w:t>
      </w:r>
      <w:proofErr w:type="gramStart"/>
      <w:r w:rsidRPr="00031AC7">
        <w:rPr>
          <w:sz w:val="24"/>
          <w:szCs w:val="24"/>
        </w:rPr>
        <w:t>bold</w:t>
      </w:r>
      <w:proofErr w:type="gramEnd"/>
      <w:r w:rsidRPr="00031AC7">
        <w:rPr>
          <w:sz w:val="24"/>
          <w:szCs w:val="24"/>
        </w:rPr>
        <w:t xml:space="preserve"> and</w:t>
      </w:r>
      <w:r w:rsidRPr="00031AC7">
        <w:rPr>
          <w:spacing w:val="-7"/>
          <w:sz w:val="24"/>
          <w:szCs w:val="24"/>
        </w:rPr>
        <w:t xml:space="preserve"> </w:t>
      </w:r>
      <w:r w:rsidRPr="00031AC7">
        <w:rPr>
          <w:sz w:val="24"/>
          <w:szCs w:val="24"/>
        </w:rPr>
        <w:t>underlined.</w:t>
      </w:r>
    </w:p>
    <w:p w14:paraId="170842C2" w14:textId="77777777" w:rsidR="004C5E84" w:rsidRPr="00031AC7" w:rsidRDefault="008B6369" w:rsidP="00031AC7">
      <w:pPr>
        <w:pStyle w:val="ListParagraph"/>
        <w:numPr>
          <w:ilvl w:val="0"/>
          <w:numId w:val="7"/>
        </w:numPr>
        <w:tabs>
          <w:tab w:val="left" w:pos="1559"/>
          <w:tab w:val="left" w:pos="1560"/>
        </w:tabs>
        <w:spacing w:before="0" w:line="293" w:lineRule="exact"/>
        <w:ind w:left="540"/>
        <w:rPr>
          <w:sz w:val="24"/>
          <w:szCs w:val="24"/>
        </w:rPr>
      </w:pPr>
      <w:r w:rsidRPr="00031AC7">
        <w:rPr>
          <w:sz w:val="24"/>
          <w:szCs w:val="24"/>
        </w:rPr>
        <w:t>Indent (Tab) the first line of each paragraph 0.5</w:t>
      </w:r>
      <w:r w:rsidRPr="00031AC7">
        <w:rPr>
          <w:spacing w:val="-4"/>
          <w:sz w:val="24"/>
          <w:szCs w:val="24"/>
        </w:rPr>
        <w:t xml:space="preserve"> </w:t>
      </w:r>
      <w:r w:rsidRPr="00031AC7">
        <w:rPr>
          <w:sz w:val="24"/>
          <w:szCs w:val="24"/>
        </w:rPr>
        <w:t>inches.</w:t>
      </w:r>
    </w:p>
    <w:p w14:paraId="32F5CF2A" w14:textId="77777777" w:rsidR="004C5E84" w:rsidRPr="00031AC7" w:rsidRDefault="008B6369" w:rsidP="00031AC7">
      <w:pPr>
        <w:pStyle w:val="ListParagraph"/>
        <w:numPr>
          <w:ilvl w:val="0"/>
          <w:numId w:val="7"/>
        </w:numPr>
        <w:tabs>
          <w:tab w:val="left" w:pos="1559"/>
          <w:tab w:val="left" w:pos="1560"/>
        </w:tabs>
        <w:spacing w:before="0" w:line="293" w:lineRule="exact"/>
        <w:ind w:left="540"/>
        <w:rPr>
          <w:sz w:val="24"/>
          <w:szCs w:val="24"/>
        </w:rPr>
      </w:pPr>
      <w:r w:rsidRPr="00031AC7">
        <w:rPr>
          <w:sz w:val="24"/>
          <w:szCs w:val="24"/>
        </w:rPr>
        <w:t>No space between the</w:t>
      </w:r>
      <w:r w:rsidRPr="00031AC7">
        <w:rPr>
          <w:spacing w:val="-1"/>
          <w:sz w:val="24"/>
          <w:szCs w:val="24"/>
        </w:rPr>
        <w:t xml:space="preserve"> </w:t>
      </w:r>
      <w:r w:rsidRPr="00031AC7">
        <w:rPr>
          <w:sz w:val="24"/>
          <w:szCs w:val="24"/>
        </w:rPr>
        <w:t>paragraphs.</w:t>
      </w:r>
    </w:p>
    <w:p w14:paraId="1B194B10" w14:textId="77777777" w:rsidR="004C5E84" w:rsidRPr="00031AC7" w:rsidRDefault="008B6369" w:rsidP="00031AC7">
      <w:pPr>
        <w:pStyle w:val="ListParagraph"/>
        <w:numPr>
          <w:ilvl w:val="0"/>
          <w:numId w:val="7"/>
        </w:numPr>
        <w:tabs>
          <w:tab w:val="left" w:pos="1559"/>
          <w:tab w:val="left" w:pos="1560"/>
        </w:tabs>
        <w:spacing w:before="0" w:line="293" w:lineRule="exact"/>
        <w:ind w:left="540"/>
        <w:rPr>
          <w:sz w:val="24"/>
          <w:szCs w:val="24"/>
        </w:rPr>
      </w:pPr>
      <w:r w:rsidRPr="00031AC7">
        <w:rPr>
          <w:sz w:val="24"/>
          <w:szCs w:val="24"/>
        </w:rPr>
        <w:t>Line numbering continuous throughout the</w:t>
      </w:r>
      <w:r w:rsidRPr="00031AC7">
        <w:rPr>
          <w:spacing w:val="-6"/>
          <w:sz w:val="24"/>
          <w:szCs w:val="24"/>
        </w:rPr>
        <w:t xml:space="preserve"> </w:t>
      </w:r>
      <w:r w:rsidRPr="00031AC7">
        <w:rPr>
          <w:sz w:val="24"/>
          <w:szCs w:val="24"/>
        </w:rPr>
        <w:t>document.</w:t>
      </w:r>
    </w:p>
    <w:p w14:paraId="34615F42" w14:textId="170CF8BA" w:rsidR="004C5E84" w:rsidRPr="00031AC7" w:rsidRDefault="008B6369" w:rsidP="00031AC7">
      <w:pPr>
        <w:pStyle w:val="ListParagraph"/>
        <w:numPr>
          <w:ilvl w:val="0"/>
          <w:numId w:val="7"/>
        </w:numPr>
        <w:tabs>
          <w:tab w:val="left" w:pos="1559"/>
          <w:tab w:val="left" w:pos="1560"/>
        </w:tabs>
        <w:spacing w:before="1" w:line="293" w:lineRule="exact"/>
        <w:ind w:left="540"/>
        <w:rPr>
          <w:sz w:val="24"/>
          <w:szCs w:val="24"/>
        </w:rPr>
      </w:pPr>
      <w:r w:rsidRPr="00031AC7">
        <w:rPr>
          <w:sz w:val="24"/>
          <w:szCs w:val="24"/>
        </w:rPr>
        <w:t>Header should contain the title of the policy paper (</w:t>
      </w:r>
      <w:r w:rsidR="00A824B5">
        <w:rPr>
          <w:sz w:val="24"/>
          <w:szCs w:val="24"/>
        </w:rPr>
        <w:t>centered</w:t>
      </w:r>
      <w:r w:rsidRPr="00031AC7">
        <w:rPr>
          <w:sz w:val="24"/>
          <w:szCs w:val="24"/>
        </w:rPr>
        <w:t>).</w:t>
      </w:r>
    </w:p>
    <w:p w14:paraId="16903488" w14:textId="77777777" w:rsidR="004C5E84" w:rsidRPr="00031AC7" w:rsidRDefault="008B6369" w:rsidP="00031AC7">
      <w:pPr>
        <w:pStyle w:val="ListParagraph"/>
        <w:numPr>
          <w:ilvl w:val="0"/>
          <w:numId w:val="7"/>
        </w:numPr>
        <w:tabs>
          <w:tab w:val="left" w:pos="1559"/>
          <w:tab w:val="left" w:pos="1560"/>
        </w:tabs>
        <w:spacing w:before="0" w:line="293" w:lineRule="exact"/>
        <w:ind w:left="540"/>
        <w:rPr>
          <w:sz w:val="24"/>
          <w:szCs w:val="24"/>
        </w:rPr>
      </w:pPr>
      <w:r w:rsidRPr="00031AC7">
        <w:rPr>
          <w:sz w:val="24"/>
          <w:szCs w:val="24"/>
        </w:rPr>
        <w:t>Footer should contain the page number</w:t>
      </w:r>
      <w:r w:rsidRPr="00031AC7">
        <w:rPr>
          <w:spacing w:val="-1"/>
          <w:sz w:val="24"/>
          <w:szCs w:val="24"/>
        </w:rPr>
        <w:t xml:space="preserve"> </w:t>
      </w:r>
      <w:r w:rsidRPr="00031AC7">
        <w:rPr>
          <w:sz w:val="24"/>
          <w:szCs w:val="24"/>
        </w:rPr>
        <w:t>(centered).</w:t>
      </w:r>
    </w:p>
    <w:p w14:paraId="353BF8CF" w14:textId="77777777" w:rsidR="004C5E84" w:rsidRPr="00031AC7" w:rsidRDefault="008B6369" w:rsidP="00031AC7">
      <w:pPr>
        <w:pStyle w:val="ListParagraph"/>
        <w:numPr>
          <w:ilvl w:val="0"/>
          <w:numId w:val="7"/>
        </w:numPr>
        <w:tabs>
          <w:tab w:val="left" w:pos="1559"/>
          <w:tab w:val="left" w:pos="1560"/>
        </w:tabs>
        <w:spacing w:before="2" w:line="237" w:lineRule="auto"/>
        <w:ind w:left="540" w:right="405"/>
        <w:rPr>
          <w:sz w:val="24"/>
          <w:szCs w:val="24"/>
        </w:rPr>
      </w:pPr>
      <w:r w:rsidRPr="00031AC7">
        <w:rPr>
          <w:sz w:val="24"/>
          <w:szCs w:val="24"/>
        </w:rPr>
        <w:t xml:space="preserve">If your document contains references, </w:t>
      </w:r>
      <w:proofErr w:type="gramStart"/>
      <w:r w:rsidRPr="00031AC7">
        <w:rPr>
          <w:sz w:val="24"/>
          <w:szCs w:val="24"/>
        </w:rPr>
        <w:t>as a general rule</w:t>
      </w:r>
      <w:proofErr w:type="gramEnd"/>
      <w:r w:rsidRPr="00031AC7">
        <w:rPr>
          <w:sz w:val="24"/>
          <w:szCs w:val="24"/>
        </w:rPr>
        <w:t>, they should be from within the last 7</w:t>
      </w:r>
      <w:r w:rsidRPr="00031AC7">
        <w:rPr>
          <w:spacing w:val="1"/>
          <w:sz w:val="24"/>
          <w:szCs w:val="24"/>
        </w:rPr>
        <w:t xml:space="preserve"> </w:t>
      </w:r>
      <w:r w:rsidRPr="00031AC7">
        <w:rPr>
          <w:sz w:val="24"/>
          <w:szCs w:val="24"/>
        </w:rPr>
        <w:t>years.</w:t>
      </w:r>
    </w:p>
    <w:p w14:paraId="58C4E7E7" w14:textId="77777777" w:rsidR="004C5E84" w:rsidRPr="00031AC7" w:rsidRDefault="008B6369" w:rsidP="00031AC7">
      <w:pPr>
        <w:pStyle w:val="ListParagraph"/>
        <w:numPr>
          <w:ilvl w:val="0"/>
          <w:numId w:val="7"/>
        </w:numPr>
        <w:tabs>
          <w:tab w:val="left" w:pos="1559"/>
          <w:tab w:val="left" w:pos="1560"/>
        </w:tabs>
        <w:spacing w:before="4" w:line="237" w:lineRule="auto"/>
        <w:ind w:left="540" w:right="493"/>
        <w:rPr>
          <w:sz w:val="24"/>
          <w:szCs w:val="24"/>
        </w:rPr>
      </w:pPr>
      <w:r w:rsidRPr="00031AC7">
        <w:rPr>
          <w:sz w:val="24"/>
          <w:szCs w:val="24"/>
        </w:rPr>
        <w:t xml:space="preserve">References must be in MLA format. </w:t>
      </w:r>
      <w:r w:rsidRPr="00031AC7">
        <w:rPr>
          <w:sz w:val="24"/>
          <w:szCs w:val="24"/>
          <w:u w:val="single"/>
        </w:rPr>
        <w:t>Please do not use the automatic endnote/footnote feature in Word</w:t>
      </w:r>
      <w:r w:rsidRPr="00031AC7">
        <w:rPr>
          <w:sz w:val="24"/>
          <w:szCs w:val="24"/>
        </w:rPr>
        <w:t>. They should be manually inserted and</w:t>
      </w:r>
      <w:r w:rsidRPr="00031AC7">
        <w:rPr>
          <w:spacing w:val="-13"/>
          <w:sz w:val="24"/>
          <w:szCs w:val="24"/>
        </w:rPr>
        <w:t xml:space="preserve"> </w:t>
      </w:r>
      <w:r w:rsidRPr="00031AC7">
        <w:rPr>
          <w:sz w:val="24"/>
          <w:szCs w:val="24"/>
        </w:rPr>
        <w:t>formatted.</w:t>
      </w:r>
    </w:p>
    <w:p w14:paraId="1501666E" w14:textId="77777777" w:rsidR="004C5E84" w:rsidRPr="00031AC7" w:rsidRDefault="008B6369" w:rsidP="00031AC7">
      <w:pPr>
        <w:pStyle w:val="ListParagraph"/>
        <w:numPr>
          <w:ilvl w:val="0"/>
          <w:numId w:val="7"/>
        </w:numPr>
        <w:tabs>
          <w:tab w:val="left" w:pos="1559"/>
          <w:tab w:val="left" w:pos="1560"/>
        </w:tabs>
        <w:spacing w:before="5" w:line="237" w:lineRule="auto"/>
        <w:ind w:left="540" w:right="627"/>
        <w:rPr>
          <w:sz w:val="24"/>
          <w:szCs w:val="24"/>
        </w:rPr>
      </w:pPr>
      <w:r w:rsidRPr="00031AC7">
        <w:rPr>
          <w:sz w:val="24"/>
          <w:szCs w:val="24"/>
        </w:rPr>
        <w:t>All references should appear as endnotes at the end of the document in a section that begins with the title, “References,” bold and underlined, beginning on a new</w:t>
      </w:r>
      <w:r w:rsidRPr="00031AC7">
        <w:rPr>
          <w:spacing w:val="-16"/>
          <w:sz w:val="24"/>
          <w:szCs w:val="24"/>
        </w:rPr>
        <w:t xml:space="preserve"> </w:t>
      </w:r>
      <w:r w:rsidRPr="00031AC7">
        <w:rPr>
          <w:sz w:val="24"/>
          <w:szCs w:val="24"/>
        </w:rPr>
        <w:t>page.</w:t>
      </w:r>
    </w:p>
    <w:p w14:paraId="71599B1C" w14:textId="77777777" w:rsidR="00A824B5" w:rsidRDefault="008B6369" w:rsidP="00A824B5">
      <w:pPr>
        <w:pStyle w:val="ListParagraph"/>
        <w:numPr>
          <w:ilvl w:val="0"/>
          <w:numId w:val="7"/>
        </w:numPr>
        <w:tabs>
          <w:tab w:val="left" w:pos="1559"/>
          <w:tab w:val="left" w:pos="1560"/>
        </w:tabs>
        <w:spacing w:before="2"/>
        <w:ind w:left="540"/>
        <w:rPr>
          <w:sz w:val="24"/>
          <w:szCs w:val="24"/>
        </w:rPr>
      </w:pPr>
      <w:r w:rsidRPr="00031AC7">
        <w:rPr>
          <w:sz w:val="24"/>
          <w:szCs w:val="24"/>
        </w:rPr>
        <w:t xml:space="preserve">The paper should conclude with a </w:t>
      </w:r>
      <w:r w:rsidRPr="00A824B5">
        <w:rPr>
          <w:sz w:val="24"/>
          <w:szCs w:val="24"/>
          <w:u w:val="single"/>
        </w:rPr>
        <w:t>narrative summary</w:t>
      </w:r>
      <w:r w:rsidRPr="00031AC7">
        <w:rPr>
          <w:sz w:val="24"/>
          <w:szCs w:val="24"/>
        </w:rPr>
        <w:t xml:space="preserve"> of its</w:t>
      </w:r>
      <w:r w:rsidRPr="00031AC7">
        <w:rPr>
          <w:spacing w:val="-13"/>
          <w:sz w:val="24"/>
          <w:szCs w:val="24"/>
        </w:rPr>
        <w:t xml:space="preserve"> </w:t>
      </w:r>
      <w:r w:rsidRPr="00031AC7">
        <w:rPr>
          <w:sz w:val="24"/>
          <w:szCs w:val="24"/>
        </w:rPr>
        <w:t>findings.</w:t>
      </w:r>
    </w:p>
    <w:p w14:paraId="4BBF3FDF" w14:textId="77777777" w:rsidR="00A824B5" w:rsidRDefault="00A824B5" w:rsidP="00A824B5">
      <w:pPr>
        <w:pStyle w:val="ListParagraph"/>
        <w:numPr>
          <w:ilvl w:val="0"/>
          <w:numId w:val="7"/>
        </w:numPr>
        <w:tabs>
          <w:tab w:val="left" w:pos="1559"/>
          <w:tab w:val="left" w:pos="1560"/>
        </w:tabs>
        <w:spacing w:before="2"/>
        <w:ind w:left="540"/>
        <w:rPr>
          <w:sz w:val="24"/>
          <w:szCs w:val="24"/>
        </w:rPr>
      </w:pPr>
      <w:r w:rsidRPr="00A824B5">
        <w:rPr>
          <w:sz w:val="24"/>
          <w:szCs w:val="24"/>
        </w:rPr>
        <w:t xml:space="preserve">If amending a current policy paper, </w:t>
      </w:r>
      <w:r>
        <w:rPr>
          <w:sz w:val="24"/>
          <w:szCs w:val="24"/>
        </w:rPr>
        <w:t>t</w:t>
      </w:r>
      <w:r w:rsidRPr="00A824B5">
        <w:rPr>
          <w:sz w:val="24"/>
          <w:szCs w:val="24"/>
        </w:rPr>
        <w:t xml:space="preserve">he current policy </w:t>
      </w:r>
      <w:r>
        <w:rPr>
          <w:sz w:val="24"/>
          <w:szCs w:val="24"/>
        </w:rPr>
        <w:t xml:space="preserve">paper </w:t>
      </w:r>
      <w:r w:rsidRPr="00A824B5">
        <w:rPr>
          <w:sz w:val="24"/>
          <w:szCs w:val="24"/>
          <w:u w:val="single"/>
        </w:rPr>
        <w:t>must be included in its entirety</w:t>
      </w:r>
      <w:r w:rsidRPr="00A824B5">
        <w:rPr>
          <w:sz w:val="24"/>
          <w:szCs w:val="24"/>
        </w:rPr>
        <w:t>, and appropriately annotated by striking through (</w:t>
      </w:r>
      <w:r w:rsidRPr="00A824B5">
        <w:rPr>
          <w:strike/>
          <w:sz w:val="24"/>
          <w:szCs w:val="24"/>
        </w:rPr>
        <w:t>striking through</w:t>
      </w:r>
      <w:r w:rsidRPr="00A824B5">
        <w:rPr>
          <w:sz w:val="24"/>
          <w:szCs w:val="24"/>
        </w:rPr>
        <w:t xml:space="preserve">) the language to be deleted and capitalizing (CAPITALIZING) proposed additions. If </w:t>
      </w:r>
      <w:r>
        <w:rPr>
          <w:sz w:val="24"/>
          <w:szCs w:val="24"/>
        </w:rPr>
        <w:t>amending an</w:t>
      </w:r>
      <w:r w:rsidRPr="00A824B5">
        <w:rPr>
          <w:sz w:val="24"/>
          <w:szCs w:val="24"/>
        </w:rPr>
        <w:t xml:space="preserve"> entire </w:t>
      </w:r>
      <w:r>
        <w:rPr>
          <w:sz w:val="24"/>
          <w:szCs w:val="24"/>
        </w:rPr>
        <w:t>paper</w:t>
      </w:r>
      <w:r w:rsidRPr="00A824B5">
        <w:rPr>
          <w:sz w:val="24"/>
          <w:szCs w:val="24"/>
        </w:rPr>
        <w:t xml:space="preserve"> </w:t>
      </w:r>
      <w:r>
        <w:rPr>
          <w:sz w:val="24"/>
          <w:szCs w:val="24"/>
        </w:rPr>
        <w:t>by substitution</w:t>
      </w:r>
      <w:r w:rsidRPr="00A824B5">
        <w:rPr>
          <w:sz w:val="24"/>
          <w:szCs w:val="24"/>
        </w:rPr>
        <w:t xml:space="preserve">, the original </w:t>
      </w:r>
      <w:r>
        <w:rPr>
          <w:sz w:val="24"/>
          <w:szCs w:val="24"/>
        </w:rPr>
        <w:t>paper</w:t>
      </w:r>
      <w:r w:rsidRPr="00A824B5">
        <w:rPr>
          <w:sz w:val="24"/>
          <w:szCs w:val="24"/>
        </w:rPr>
        <w:t xml:space="preserve"> must be </w:t>
      </w:r>
      <w:r>
        <w:rPr>
          <w:sz w:val="24"/>
          <w:szCs w:val="24"/>
        </w:rPr>
        <w:t>included</w:t>
      </w:r>
      <w:r w:rsidRPr="00A824B5">
        <w:rPr>
          <w:sz w:val="24"/>
          <w:szCs w:val="24"/>
        </w:rPr>
        <w:t xml:space="preserve">, and then struck, and the proposed </w:t>
      </w:r>
      <w:r>
        <w:rPr>
          <w:sz w:val="24"/>
          <w:szCs w:val="24"/>
        </w:rPr>
        <w:t>paper language</w:t>
      </w:r>
      <w:r w:rsidRPr="00A824B5">
        <w:rPr>
          <w:sz w:val="24"/>
          <w:szCs w:val="24"/>
        </w:rPr>
        <w:t xml:space="preserve"> inserted directly following it (CAPITALIZED). </w:t>
      </w:r>
    </w:p>
    <w:p w14:paraId="79514FE7" w14:textId="1B273F97" w:rsidR="00A824B5" w:rsidRPr="00A824B5" w:rsidRDefault="00A824B5" w:rsidP="00A824B5">
      <w:pPr>
        <w:pStyle w:val="ListParagraph"/>
        <w:numPr>
          <w:ilvl w:val="0"/>
          <w:numId w:val="7"/>
        </w:numPr>
        <w:tabs>
          <w:tab w:val="left" w:pos="1559"/>
          <w:tab w:val="left" w:pos="1560"/>
        </w:tabs>
        <w:spacing w:before="2"/>
        <w:ind w:left="540"/>
        <w:rPr>
          <w:sz w:val="24"/>
          <w:szCs w:val="24"/>
        </w:rPr>
      </w:pPr>
      <w:r w:rsidRPr="00C433D2">
        <w:rPr>
          <w:sz w:val="24"/>
          <w:szCs w:val="24"/>
          <w:highlight w:val="yellow"/>
        </w:rPr>
        <w:t>All proposed changes should be highlighted in yellow.</w:t>
      </w:r>
    </w:p>
    <w:p w14:paraId="361DB7EA" w14:textId="3F73382B" w:rsidR="00A824B5" w:rsidRPr="00031AC7" w:rsidRDefault="00A824B5" w:rsidP="00A824B5">
      <w:pPr>
        <w:pStyle w:val="ListParagraph"/>
        <w:tabs>
          <w:tab w:val="left" w:pos="1559"/>
          <w:tab w:val="left" w:pos="1560"/>
        </w:tabs>
        <w:spacing w:before="2"/>
        <w:ind w:left="540" w:firstLine="0"/>
        <w:rPr>
          <w:sz w:val="24"/>
          <w:szCs w:val="24"/>
        </w:rPr>
      </w:pPr>
    </w:p>
    <w:p w14:paraId="73DD1379" w14:textId="5F162016" w:rsidR="004C5E84" w:rsidRPr="00031AC7" w:rsidRDefault="008B6369" w:rsidP="004065C4">
      <w:pPr>
        <w:pStyle w:val="BodyText"/>
        <w:spacing w:before="1"/>
        <w:ind w:left="0" w:right="475"/>
      </w:pPr>
      <w:r w:rsidRPr="00031AC7">
        <w:lastRenderedPageBreak/>
        <w:t xml:space="preserve">Please do not use any other formatting, automatic fields, or styles other than what is discussed above. We hope this guide is helpful to you. See the attached example for more information. You may wish to use the example as a template and paste your </w:t>
      </w:r>
      <w:r w:rsidR="00916436" w:rsidRPr="00031AC7">
        <w:t>wording or</w:t>
      </w:r>
      <w:r w:rsidRPr="00031AC7">
        <w:t xml:space="preserve"> capture the style as appropriate. Please do not hesitate to contact the </w:t>
      </w:r>
      <w:hyperlink r:id="rId8">
        <w:r w:rsidRPr="00031AC7">
          <w:rPr>
            <w:color w:val="0000FF"/>
            <w:u w:val="single" w:color="0000FF"/>
          </w:rPr>
          <w:t>House Officers</w:t>
        </w:r>
        <w:r w:rsidRPr="00031AC7">
          <w:rPr>
            <w:color w:val="0000FF"/>
          </w:rPr>
          <w:t xml:space="preserve"> </w:t>
        </w:r>
      </w:hyperlink>
      <w:r w:rsidRPr="00031AC7">
        <w:t>if questions arise or if clarifications are required.</w:t>
      </w:r>
    </w:p>
    <w:p w14:paraId="0340F5FB" w14:textId="77777777" w:rsidR="004C5E84" w:rsidRPr="00031AC7" w:rsidRDefault="004C5E84" w:rsidP="004065C4">
      <w:pPr>
        <w:pStyle w:val="BodyText"/>
        <w:spacing w:before="10"/>
        <w:ind w:left="0"/>
      </w:pPr>
    </w:p>
    <w:p w14:paraId="2D26628A" w14:textId="77777777" w:rsidR="004C5E84" w:rsidRPr="00031AC7" w:rsidRDefault="008B6369" w:rsidP="004065C4">
      <w:pPr>
        <w:pStyle w:val="BodyText"/>
        <w:spacing w:before="0"/>
        <w:ind w:left="0" w:right="942"/>
      </w:pPr>
      <w:r w:rsidRPr="00031AC7">
        <w:t xml:space="preserve">Note that you can obtain </w:t>
      </w:r>
      <w:r w:rsidR="00916436" w:rsidRPr="00031AC7">
        <w:t>all</w:t>
      </w:r>
      <w:r w:rsidRPr="00031AC7">
        <w:t xml:space="preserve"> the required formatting by using the remainder of this document as your template!</w:t>
      </w:r>
    </w:p>
    <w:p w14:paraId="598DB11D" w14:textId="77777777" w:rsidR="00031AC7" w:rsidRDefault="00031AC7" w:rsidP="00EB0AD8">
      <w:pPr>
        <w:pStyle w:val="NormalWeb"/>
        <w:spacing w:before="0" w:beforeAutospacing="0" w:after="0" w:afterAutospacing="0"/>
        <w:jc w:val="center"/>
        <w:rPr>
          <w:b/>
          <w:sz w:val="28"/>
          <w:szCs w:val="28"/>
          <w:u w:val="single"/>
        </w:rPr>
        <w:sectPr w:rsidR="00031AC7" w:rsidSect="004065C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1214" w:gutter="0"/>
          <w:cols w:space="720"/>
          <w:docGrid w:linePitch="299"/>
        </w:sectPr>
      </w:pPr>
    </w:p>
    <w:p w14:paraId="69FEC69D" w14:textId="7DF5CB85" w:rsidR="00EB0AD8" w:rsidRPr="00031AC7" w:rsidRDefault="00EB0AD8" w:rsidP="00EB0AD8">
      <w:pPr>
        <w:pStyle w:val="NormalWeb"/>
        <w:spacing w:before="0" w:beforeAutospacing="0" w:after="0" w:afterAutospacing="0"/>
        <w:jc w:val="center"/>
        <w:rPr>
          <w:b/>
          <w:bCs/>
          <w:sz w:val="28"/>
          <w:szCs w:val="28"/>
          <w:u w:val="single"/>
        </w:rPr>
      </w:pPr>
      <w:r w:rsidRPr="00031AC7">
        <w:rPr>
          <w:b/>
          <w:sz w:val="28"/>
          <w:szCs w:val="28"/>
          <w:u w:val="single"/>
        </w:rPr>
        <w:t xml:space="preserve">Routine Vaccination for </w:t>
      </w:r>
      <w:r w:rsidRPr="00031AC7">
        <w:rPr>
          <w:b/>
          <w:bCs/>
          <w:sz w:val="28"/>
          <w:szCs w:val="28"/>
          <w:u w:val="single"/>
        </w:rPr>
        <w:t>Human Papillomavirus</w:t>
      </w:r>
    </w:p>
    <w:p w14:paraId="6E165FA8" w14:textId="77777777" w:rsidR="00EB0AD8" w:rsidRPr="00031AC7" w:rsidRDefault="00EB0AD8" w:rsidP="00EB0AD8">
      <w:pPr>
        <w:pStyle w:val="NormalWeb"/>
        <w:spacing w:before="0" w:beforeAutospacing="0" w:after="0" w:afterAutospacing="0"/>
        <w:jc w:val="center"/>
      </w:pPr>
      <w:r w:rsidRPr="00031AC7">
        <w:t>(Adopted 2008, amended 2012, 2017)</w:t>
      </w:r>
    </w:p>
    <w:p w14:paraId="6B609C13" w14:textId="77777777" w:rsidR="00EB0AD8" w:rsidRPr="00031AC7" w:rsidRDefault="00EB0AD8" w:rsidP="00EB0AD8">
      <w:pPr>
        <w:pStyle w:val="NormalWeb"/>
        <w:spacing w:before="0" w:beforeAutospacing="0" w:after="0" w:afterAutospacing="0"/>
        <w:jc w:val="center"/>
      </w:pPr>
    </w:p>
    <w:p w14:paraId="74508268" w14:textId="77777777" w:rsidR="00EB0AD8" w:rsidRPr="00031AC7" w:rsidRDefault="00EB0AD8" w:rsidP="00EB0AD8">
      <w:pPr>
        <w:pStyle w:val="NormalWeb"/>
        <w:spacing w:before="0" w:beforeAutospacing="0" w:after="0" w:afterAutospacing="0"/>
        <w:ind w:left="720"/>
        <w:jc w:val="center"/>
        <w:rPr>
          <w:b/>
          <w:bCs/>
          <w:u w:val="single"/>
        </w:rPr>
      </w:pPr>
      <w:r w:rsidRPr="00031AC7">
        <w:rPr>
          <w:b/>
          <w:bCs/>
          <w:u w:val="single"/>
        </w:rPr>
        <w:t>Executive Summary of Policy Contained in this Paper</w:t>
      </w:r>
    </w:p>
    <w:p w14:paraId="6F92F9F4" w14:textId="1FD17DD5" w:rsidR="00EB0AD8" w:rsidRPr="00031AC7" w:rsidRDefault="00EB0AD8" w:rsidP="00EB0AD8">
      <w:pPr>
        <w:pStyle w:val="NormalWeb"/>
        <w:spacing w:before="0" w:beforeAutospacing="0" w:after="0" w:afterAutospacing="0"/>
        <w:ind w:left="720"/>
        <w:jc w:val="center"/>
        <w:rPr>
          <w:bCs/>
        </w:rPr>
      </w:pPr>
      <w:r w:rsidRPr="00031AC7">
        <w:rPr>
          <w:bCs/>
        </w:rPr>
        <w:t>Summaries will lack rationale and background information and may lose nuance of policy. You are highly encouraged to read the entire paper.</w:t>
      </w:r>
    </w:p>
    <w:p w14:paraId="748BEF96" w14:textId="77777777" w:rsidR="00EB0AD8" w:rsidRPr="00031AC7" w:rsidRDefault="00EB0AD8" w:rsidP="00EB0AD8">
      <w:pPr>
        <w:pStyle w:val="NormalWeb"/>
        <w:spacing w:before="0" w:beforeAutospacing="0" w:after="0" w:afterAutospacing="0"/>
        <w:ind w:left="720"/>
      </w:pPr>
    </w:p>
    <w:p w14:paraId="377347B3" w14:textId="77777777" w:rsidR="00EB0AD8" w:rsidRPr="00031AC7" w:rsidRDefault="00EB0AD8" w:rsidP="00031AC7">
      <w:pPr>
        <w:pStyle w:val="NormalWeb"/>
        <w:numPr>
          <w:ilvl w:val="0"/>
          <w:numId w:val="8"/>
        </w:numPr>
        <w:tabs>
          <w:tab w:val="left" w:pos="540"/>
          <w:tab w:val="left" w:pos="990"/>
        </w:tabs>
        <w:spacing w:before="0" w:beforeAutospacing="0" w:after="0" w:afterAutospacing="0" w:line="360" w:lineRule="auto"/>
        <w:ind w:left="540" w:hanging="270"/>
      </w:pPr>
      <w:r w:rsidRPr="00031AC7">
        <w:t xml:space="preserve">AAPA supports routine HPV vaccination for the prevention of HPV-related diseases, which include cancer. </w:t>
      </w:r>
    </w:p>
    <w:p w14:paraId="5C9281C1" w14:textId="77777777" w:rsidR="00EB0AD8" w:rsidRPr="00031AC7" w:rsidRDefault="00EB0AD8" w:rsidP="00031AC7">
      <w:pPr>
        <w:pStyle w:val="NormalWeb"/>
        <w:numPr>
          <w:ilvl w:val="0"/>
          <w:numId w:val="8"/>
        </w:numPr>
        <w:tabs>
          <w:tab w:val="left" w:pos="540"/>
          <w:tab w:val="left" w:pos="990"/>
        </w:tabs>
        <w:spacing w:before="0" w:beforeAutospacing="0" w:after="0" w:afterAutospacing="0" w:line="360" w:lineRule="auto"/>
        <w:ind w:left="540" w:hanging="270"/>
      </w:pPr>
      <w:r w:rsidRPr="00031AC7">
        <w:t xml:space="preserve">AAPA supports coverage of HPV vaccination by all insurers as well as public funding for HPV vaccination for underinsured or uninsured patients. </w:t>
      </w:r>
    </w:p>
    <w:p w14:paraId="7B88C03F" w14:textId="77777777" w:rsidR="00EB0AD8" w:rsidRPr="00031AC7" w:rsidRDefault="00EB0AD8" w:rsidP="00031AC7">
      <w:pPr>
        <w:pStyle w:val="NormalWeb"/>
        <w:numPr>
          <w:ilvl w:val="0"/>
          <w:numId w:val="8"/>
        </w:numPr>
        <w:tabs>
          <w:tab w:val="left" w:pos="540"/>
          <w:tab w:val="left" w:pos="990"/>
        </w:tabs>
        <w:spacing w:before="0" w:beforeAutospacing="0" w:after="0" w:afterAutospacing="0" w:line="360" w:lineRule="auto"/>
        <w:ind w:left="540" w:hanging="270"/>
      </w:pPr>
      <w:r w:rsidRPr="00031AC7">
        <w:t xml:space="preserve">AAPA encourages all PAs to discuss and recommend HPV vaccination for their patients in the appropriate populations. </w:t>
      </w:r>
    </w:p>
    <w:p w14:paraId="484429BF" w14:textId="77777777" w:rsidR="00EB0AD8" w:rsidRPr="00031AC7" w:rsidRDefault="00EB0AD8" w:rsidP="00031AC7">
      <w:pPr>
        <w:pStyle w:val="NormalWeb"/>
        <w:numPr>
          <w:ilvl w:val="0"/>
          <w:numId w:val="8"/>
        </w:numPr>
        <w:tabs>
          <w:tab w:val="left" w:pos="540"/>
          <w:tab w:val="left" w:pos="990"/>
        </w:tabs>
        <w:spacing w:before="0" w:beforeAutospacing="0" w:after="0" w:afterAutospacing="0" w:line="360" w:lineRule="auto"/>
        <w:ind w:left="540" w:hanging="270"/>
      </w:pPr>
      <w:r w:rsidRPr="00031AC7">
        <w:t>PAs should continue to discuss the importance of safer sex with all their patients and continue to advise routine screening for HPV associated cancers in accordance with accepted guidelines.</w:t>
      </w:r>
    </w:p>
    <w:p w14:paraId="7A025DC6" w14:textId="77777777" w:rsidR="00EB0AD8" w:rsidRPr="00031AC7" w:rsidRDefault="00EB0AD8" w:rsidP="00031AC7">
      <w:pPr>
        <w:pStyle w:val="NormalWeb"/>
        <w:spacing w:before="0" w:beforeAutospacing="0" w:after="0" w:afterAutospacing="0" w:line="360" w:lineRule="auto"/>
        <w:jc w:val="center"/>
        <w:rPr>
          <w:b/>
          <w:u w:val="single"/>
        </w:rPr>
      </w:pPr>
    </w:p>
    <w:p w14:paraId="47D46985" w14:textId="77777777" w:rsidR="00EB0AD8" w:rsidRPr="00031AC7" w:rsidRDefault="00EB0AD8" w:rsidP="00031AC7">
      <w:pPr>
        <w:pStyle w:val="NormalWeb"/>
        <w:spacing w:before="0" w:beforeAutospacing="0" w:after="0" w:afterAutospacing="0" w:line="360" w:lineRule="auto"/>
        <w:ind w:firstLine="720"/>
      </w:pPr>
      <w:r w:rsidRPr="00031AC7">
        <w:t xml:space="preserve">Human papillomavirus (HPV) is the most common sexually transmitted infection in the United States (U.S.). HPV is associated with oropharyngeal, anal, cervical, vaginal, vulvar, and penile cancers as well as condyloma, precancerous conditions of the cervix, and recurrent respiratory papillomatosis.  Furthermore, appropriate condom usage does not completely confer protection from HPV-related disease as transmission can occur through contact with infected skin. An estimated 30,700 HPV-related cancers occur annually in the U.S., with approximately 62% of these cancers occurring in women and 38% of these cancers occurring in men. (1) HPV related illness results in significant cost to the healthcare system with an estimated $8 billion spent annually in the U.S. on the treatment and prevention of HPV-related disease. (2)  </w:t>
      </w:r>
    </w:p>
    <w:p w14:paraId="3AE0DF12" w14:textId="77777777" w:rsidR="00EB0AD8" w:rsidRPr="00031AC7" w:rsidRDefault="00EB0AD8" w:rsidP="00031AC7">
      <w:pPr>
        <w:spacing w:line="360" w:lineRule="auto"/>
        <w:rPr>
          <w:sz w:val="24"/>
          <w:szCs w:val="24"/>
        </w:rPr>
      </w:pPr>
      <w:r w:rsidRPr="00031AC7">
        <w:rPr>
          <w:sz w:val="24"/>
          <w:szCs w:val="24"/>
        </w:rPr>
        <w:t xml:space="preserve">     </w:t>
      </w:r>
      <w:r w:rsidRPr="00031AC7">
        <w:rPr>
          <w:sz w:val="24"/>
          <w:szCs w:val="24"/>
        </w:rPr>
        <w:tab/>
        <w:t xml:space="preserve">Vaccines against HPV have the potential to significantly reduce morbidity and mortality and have been available since 2006. The U.S. Office of Disease Prevention and Health Promotion Healthy People 2020 initiative (HP2020) has established a goal of achieving an 80% HPV vaccination rate for girls and boys. (3) In 2015, 49.8% of boys aged 13-17 years had received coverage with at least 1 dose of vaccine while only 28.1% had received all 3 doses. (4) Similarly, in 2015, only 62.8% of girls had received coverage with at least 1 dose of vaccine while only 41.9% had received all 3 doses. (4) While vaccination rates increased in 2015 compared to 2014, they remain well below the HP2020 target. </w:t>
      </w:r>
    </w:p>
    <w:p w14:paraId="5FDA8184" w14:textId="77777777" w:rsidR="00EB0AD8" w:rsidRPr="00031AC7" w:rsidRDefault="00EB0AD8" w:rsidP="00031AC7">
      <w:pPr>
        <w:spacing w:line="360" w:lineRule="auto"/>
        <w:ind w:firstLine="720"/>
        <w:rPr>
          <w:sz w:val="24"/>
          <w:szCs w:val="24"/>
        </w:rPr>
      </w:pPr>
      <w:r w:rsidRPr="00031AC7">
        <w:rPr>
          <w:sz w:val="24"/>
          <w:szCs w:val="24"/>
        </w:rPr>
        <w:t xml:space="preserve">Vaccines that are approved by the Food and Drug Administration (FDA) should be administered to all individuals as per the recommendations of the Centers for Disease Control and Prevention (CDC) Advisory Committee on Immunization Practice (ACIP). (5) </w:t>
      </w:r>
    </w:p>
    <w:p w14:paraId="5CA785D5" w14:textId="77777777" w:rsidR="00EB0AD8" w:rsidRPr="00031AC7" w:rsidRDefault="00EB0AD8" w:rsidP="00031AC7">
      <w:pPr>
        <w:spacing w:line="360" w:lineRule="auto"/>
        <w:ind w:firstLine="720"/>
        <w:rPr>
          <w:sz w:val="24"/>
          <w:szCs w:val="24"/>
        </w:rPr>
      </w:pPr>
      <w:r w:rsidRPr="00031AC7">
        <w:rPr>
          <w:sz w:val="24"/>
          <w:szCs w:val="24"/>
        </w:rPr>
        <w:t xml:space="preserve">HPV immunization has proven to be highly effective in preventing cervical </w:t>
      </w:r>
      <w:proofErr w:type="gramStart"/>
      <w:r w:rsidRPr="00031AC7">
        <w:rPr>
          <w:sz w:val="24"/>
          <w:szCs w:val="24"/>
        </w:rPr>
        <w:t>cancers, and</w:t>
      </w:r>
      <w:proofErr w:type="gramEnd"/>
      <w:r w:rsidRPr="00031AC7">
        <w:rPr>
          <w:sz w:val="24"/>
          <w:szCs w:val="24"/>
        </w:rPr>
        <w:t xml:space="preserve"> follow up studies show no waning of protection five years after immunization with statistical models predicting protection for over 20 years. (6)</w:t>
      </w:r>
      <w:r w:rsidRPr="00031AC7">
        <w:rPr>
          <w:sz w:val="24"/>
          <w:szCs w:val="24"/>
          <w:vertAlign w:val="superscript"/>
        </w:rPr>
        <w:t xml:space="preserve"> </w:t>
      </w:r>
      <w:r w:rsidRPr="00031AC7">
        <w:rPr>
          <w:sz w:val="24"/>
          <w:szCs w:val="24"/>
        </w:rPr>
        <w:t xml:space="preserve">Vaccination is most effective prior to the onset of any type of sexual activity and the immune response is optimal in the target age group. </w:t>
      </w:r>
    </w:p>
    <w:p w14:paraId="21C63743" w14:textId="77777777" w:rsidR="00EB0AD8" w:rsidRPr="00031AC7" w:rsidRDefault="00EB0AD8" w:rsidP="00031AC7">
      <w:pPr>
        <w:spacing w:line="360" w:lineRule="auto"/>
        <w:ind w:firstLine="720"/>
        <w:rPr>
          <w:sz w:val="24"/>
          <w:szCs w:val="24"/>
        </w:rPr>
      </w:pPr>
      <w:r w:rsidRPr="00031AC7">
        <w:rPr>
          <w:sz w:val="24"/>
          <w:szCs w:val="24"/>
        </w:rPr>
        <w:t>Some parents and clinicians are uncomfortable broaching the subject of sexuality with patients in the target age group and as a result may be reluctant to discuss the need for vaccination. PAs can play a key role in initiating an objective, patient-centered discussion on the benefits of vaccination against HPV in the same manner they recommend all routine immunizations.  Strong communication with patients and caregivers about the safety and benefits of HPV vaccination is directly associated with vaccine uptake. (7)(8) PAs are well-positioned to provide such education as practitioners of evidence-based medicine.  Messages which focus on HPV vaccination as a means of cancer prevention may be more efficacious than messages which focus on prevention of a sexually transmitted infection.</w:t>
      </w:r>
    </w:p>
    <w:p w14:paraId="1C0FB7E8" w14:textId="77777777" w:rsidR="00EB0AD8" w:rsidRPr="00031AC7" w:rsidRDefault="00EB0AD8" w:rsidP="00031AC7">
      <w:pPr>
        <w:spacing w:line="360" w:lineRule="auto"/>
        <w:rPr>
          <w:b/>
          <w:sz w:val="24"/>
          <w:szCs w:val="24"/>
          <w:u w:val="single"/>
        </w:rPr>
      </w:pPr>
      <w:r w:rsidRPr="00031AC7">
        <w:rPr>
          <w:b/>
          <w:sz w:val="24"/>
          <w:szCs w:val="24"/>
          <w:u w:val="single"/>
        </w:rPr>
        <w:t>Conclusion</w:t>
      </w:r>
    </w:p>
    <w:p w14:paraId="220F0AF6" w14:textId="77777777" w:rsidR="00EB0AD8" w:rsidRPr="00031AC7" w:rsidRDefault="00EB0AD8" w:rsidP="00031AC7">
      <w:pPr>
        <w:spacing w:line="360" w:lineRule="auto"/>
        <w:ind w:firstLine="720"/>
        <w:rPr>
          <w:sz w:val="24"/>
          <w:szCs w:val="24"/>
        </w:rPr>
      </w:pPr>
      <w:r w:rsidRPr="00031AC7">
        <w:rPr>
          <w:sz w:val="24"/>
          <w:szCs w:val="24"/>
        </w:rPr>
        <w:t>AAPA supports routine HPV vaccination for the prevention of HPV-related diseases, which include cancer. In addition, AAPA supports coverage of HPV vaccination by all insurers as well as public funding for HPV vaccination for underinsured and uninsured patients. Furthermore, AAPA encourages all PAs to discuss and recommend vaccination for their patients in the appropriate populations. PAs should continue to discuss the importance of safer sex with all their patients and continue to advise routine screening for HPV associated cancers in accordance with accepted guidelines.</w:t>
      </w:r>
    </w:p>
    <w:p w14:paraId="10360C85" w14:textId="77777777" w:rsidR="00031AC7" w:rsidRDefault="00031AC7" w:rsidP="00031AC7">
      <w:pPr>
        <w:spacing w:line="360" w:lineRule="auto"/>
        <w:rPr>
          <w:b/>
          <w:sz w:val="24"/>
          <w:szCs w:val="24"/>
          <w:u w:val="single"/>
        </w:rPr>
      </w:pPr>
    </w:p>
    <w:p w14:paraId="621D7317" w14:textId="77777777" w:rsidR="00031AC7" w:rsidRDefault="00031AC7" w:rsidP="00031AC7">
      <w:pPr>
        <w:spacing w:line="360" w:lineRule="auto"/>
        <w:rPr>
          <w:b/>
          <w:sz w:val="24"/>
          <w:szCs w:val="24"/>
          <w:u w:val="single"/>
        </w:rPr>
      </w:pPr>
    </w:p>
    <w:p w14:paraId="724514B1" w14:textId="77777777" w:rsidR="00031AC7" w:rsidRDefault="00031AC7" w:rsidP="00031AC7">
      <w:pPr>
        <w:spacing w:line="360" w:lineRule="auto"/>
        <w:rPr>
          <w:b/>
          <w:sz w:val="24"/>
          <w:szCs w:val="24"/>
          <w:u w:val="single"/>
        </w:rPr>
      </w:pPr>
    </w:p>
    <w:p w14:paraId="783E612E" w14:textId="77777777" w:rsidR="00031AC7" w:rsidRDefault="00031AC7" w:rsidP="00031AC7">
      <w:pPr>
        <w:spacing w:line="360" w:lineRule="auto"/>
        <w:rPr>
          <w:b/>
          <w:sz w:val="24"/>
          <w:szCs w:val="24"/>
          <w:u w:val="single"/>
        </w:rPr>
      </w:pPr>
    </w:p>
    <w:p w14:paraId="386EDB7C" w14:textId="77777777" w:rsidR="00031AC7" w:rsidRDefault="00031AC7" w:rsidP="00031AC7">
      <w:pPr>
        <w:spacing w:line="360" w:lineRule="auto"/>
        <w:rPr>
          <w:b/>
          <w:sz w:val="24"/>
          <w:szCs w:val="24"/>
          <w:u w:val="single"/>
        </w:rPr>
      </w:pPr>
    </w:p>
    <w:p w14:paraId="2C225994" w14:textId="77777777" w:rsidR="00031AC7" w:rsidRDefault="00031AC7" w:rsidP="00031AC7">
      <w:pPr>
        <w:spacing w:line="360" w:lineRule="auto"/>
        <w:rPr>
          <w:b/>
          <w:sz w:val="24"/>
          <w:szCs w:val="24"/>
          <w:u w:val="single"/>
        </w:rPr>
      </w:pPr>
    </w:p>
    <w:p w14:paraId="36244461" w14:textId="0FE7011C" w:rsidR="00EB0AD8" w:rsidRPr="00031AC7" w:rsidRDefault="00EB0AD8" w:rsidP="00031AC7">
      <w:pPr>
        <w:spacing w:line="360" w:lineRule="auto"/>
        <w:rPr>
          <w:b/>
          <w:sz w:val="24"/>
          <w:szCs w:val="24"/>
          <w:u w:val="single"/>
        </w:rPr>
      </w:pPr>
      <w:r w:rsidRPr="00031AC7">
        <w:rPr>
          <w:b/>
          <w:sz w:val="24"/>
          <w:szCs w:val="24"/>
          <w:u w:val="single"/>
        </w:rPr>
        <w:t>References</w:t>
      </w:r>
    </w:p>
    <w:p w14:paraId="285FFBE1" w14:textId="77777777" w:rsidR="00EB0AD8" w:rsidRPr="00031AC7" w:rsidRDefault="00EB0AD8" w:rsidP="00031AC7">
      <w:pPr>
        <w:spacing w:line="360" w:lineRule="auto"/>
        <w:ind w:left="450" w:hanging="450"/>
        <w:rPr>
          <w:sz w:val="24"/>
          <w:szCs w:val="24"/>
          <w:lang w:val="fr-FR"/>
        </w:rPr>
      </w:pPr>
      <w:r w:rsidRPr="00031AC7">
        <w:rPr>
          <w:sz w:val="24"/>
          <w:szCs w:val="24"/>
        </w:rPr>
        <w:t xml:space="preserve">1. </w:t>
      </w:r>
      <w:r w:rsidRPr="00031AC7">
        <w:rPr>
          <w:sz w:val="24"/>
          <w:szCs w:val="24"/>
        </w:rPr>
        <w:tab/>
        <w:t xml:space="preserve">Centers for Disease Control and Prevention. HPV and cancer.  http://www.cdc.gov/cancer/hpv/statistics/cases.htm. </w:t>
      </w:r>
      <w:proofErr w:type="spellStart"/>
      <w:r w:rsidRPr="00031AC7">
        <w:rPr>
          <w:sz w:val="24"/>
          <w:szCs w:val="24"/>
          <w:lang w:val="fr-FR"/>
        </w:rPr>
        <w:t>Accessed</w:t>
      </w:r>
      <w:proofErr w:type="spellEnd"/>
      <w:r w:rsidRPr="00031AC7">
        <w:rPr>
          <w:sz w:val="24"/>
          <w:szCs w:val="24"/>
          <w:lang w:val="fr-FR"/>
        </w:rPr>
        <w:t xml:space="preserve"> </w:t>
      </w:r>
      <w:proofErr w:type="spellStart"/>
      <w:r w:rsidRPr="00031AC7">
        <w:rPr>
          <w:sz w:val="24"/>
          <w:szCs w:val="24"/>
          <w:lang w:val="fr-FR"/>
        </w:rPr>
        <w:t>December</w:t>
      </w:r>
      <w:proofErr w:type="spellEnd"/>
      <w:r w:rsidRPr="00031AC7">
        <w:rPr>
          <w:sz w:val="24"/>
          <w:szCs w:val="24"/>
          <w:lang w:val="fr-FR"/>
        </w:rPr>
        <w:t xml:space="preserve"> 11, 2016.</w:t>
      </w:r>
    </w:p>
    <w:p w14:paraId="054EBAE3" w14:textId="77777777" w:rsidR="00EB0AD8" w:rsidRPr="00031AC7" w:rsidRDefault="00EB0AD8" w:rsidP="00031AC7">
      <w:pPr>
        <w:spacing w:line="360" w:lineRule="auto"/>
        <w:ind w:left="450" w:hanging="450"/>
        <w:rPr>
          <w:sz w:val="24"/>
          <w:szCs w:val="24"/>
        </w:rPr>
      </w:pPr>
      <w:r w:rsidRPr="00031AC7">
        <w:rPr>
          <w:sz w:val="24"/>
          <w:szCs w:val="24"/>
          <w:lang w:val="fr-FR"/>
        </w:rPr>
        <w:t xml:space="preserve">2. </w:t>
      </w:r>
      <w:r w:rsidRPr="00031AC7">
        <w:rPr>
          <w:sz w:val="24"/>
          <w:szCs w:val="24"/>
          <w:lang w:val="fr-FR"/>
        </w:rPr>
        <w:tab/>
        <w:t xml:space="preserve">Chesson HW, </w:t>
      </w:r>
      <w:proofErr w:type="spellStart"/>
      <w:r w:rsidRPr="00031AC7">
        <w:rPr>
          <w:sz w:val="24"/>
          <w:szCs w:val="24"/>
          <w:lang w:val="fr-FR"/>
        </w:rPr>
        <w:t>Ekwueme</w:t>
      </w:r>
      <w:proofErr w:type="spellEnd"/>
      <w:r w:rsidRPr="00031AC7">
        <w:rPr>
          <w:sz w:val="24"/>
          <w:szCs w:val="24"/>
          <w:lang w:val="fr-FR"/>
        </w:rPr>
        <w:t xml:space="preserve"> DU, </w:t>
      </w:r>
      <w:proofErr w:type="spellStart"/>
      <w:r w:rsidRPr="00031AC7">
        <w:rPr>
          <w:sz w:val="24"/>
          <w:szCs w:val="24"/>
          <w:lang w:val="fr-FR"/>
        </w:rPr>
        <w:t>Saraiya</w:t>
      </w:r>
      <w:proofErr w:type="spellEnd"/>
      <w:r w:rsidRPr="00031AC7">
        <w:rPr>
          <w:sz w:val="24"/>
          <w:szCs w:val="24"/>
          <w:lang w:val="fr-FR"/>
        </w:rPr>
        <w:t xml:space="preserve">, M, et al. </w:t>
      </w:r>
      <w:r w:rsidRPr="00031AC7">
        <w:rPr>
          <w:sz w:val="24"/>
          <w:szCs w:val="24"/>
        </w:rPr>
        <w:t xml:space="preserve">Estimates of the annual direct medical costs of the prevention and treatment of disease associated with human papillomavirus in the United States. </w:t>
      </w:r>
      <w:r w:rsidRPr="00031AC7">
        <w:rPr>
          <w:i/>
          <w:sz w:val="24"/>
          <w:szCs w:val="24"/>
        </w:rPr>
        <w:t xml:space="preserve">Vaccine. </w:t>
      </w:r>
      <w:r w:rsidRPr="00031AC7">
        <w:rPr>
          <w:sz w:val="24"/>
          <w:szCs w:val="24"/>
        </w:rPr>
        <w:t xml:space="preserve">2012;30(42):6016-6019. </w:t>
      </w:r>
    </w:p>
    <w:p w14:paraId="38644944" w14:textId="77777777" w:rsidR="00EB0AD8" w:rsidRPr="00031AC7" w:rsidRDefault="00EB0AD8" w:rsidP="00031AC7">
      <w:pPr>
        <w:spacing w:line="360" w:lineRule="auto"/>
        <w:ind w:left="450" w:hanging="450"/>
        <w:rPr>
          <w:sz w:val="24"/>
          <w:szCs w:val="24"/>
        </w:rPr>
      </w:pPr>
      <w:r w:rsidRPr="00031AC7">
        <w:rPr>
          <w:sz w:val="24"/>
          <w:szCs w:val="24"/>
        </w:rPr>
        <w:t xml:space="preserve">3. </w:t>
      </w:r>
      <w:r w:rsidRPr="00031AC7">
        <w:rPr>
          <w:sz w:val="24"/>
          <w:szCs w:val="24"/>
        </w:rPr>
        <w:tab/>
        <w:t>Office of Disease Prevention and Health Promotion HealthyPeople.gov. Immunization and infectious disease IID-11.4, IID-11.5.  https://www.healthypeople.gov/2020/topics-objectives/topic/immunization-and-infectious-diseases/objectives. Accessed December 11, 2016.</w:t>
      </w:r>
    </w:p>
    <w:p w14:paraId="7A5B9562" w14:textId="77777777" w:rsidR="00EB0AD8" w:rsidRPr="00031AC7" w:rsidRDefault="00EB0AD8" w:rsidP="00031AC7">
      <w:pPr>
        <w:spacing w:line="360" w:lineRule="auto"/>
        <w:ind w:left="450" w:hanging="450"/>
        <w:rPr>
          <w:sz w:val="24"/>
          <w:szCs w:val="24"/>
        </w:rPr>
      </w:pPr>
      <w:r w:rsidRPr="00031AC7">
        <w:rPr>
          <w:sz w:val="24"/>
          <w:szCs w:val="24"/>
        </w:rPr>
        <w:t xml:space="preserve">4. </w:t>
      </w:r>
      <w:r w:rsidRPr="00031AC7">
        <w:rPr>
          <w:sz w:val="24"/>
          <w:szCs w:val="24"/>
        </w:rPr>
        <w:tab/>
        <w:t xml:space="preserve">Reagan-Steiner S, </w:t>
      </w:r>
      <w:proofErr w:type="spellStart"/>
      <w:r w:rsidRPr="00031AC7">
        <w:rPr>
          <w:sz w:val="24"/>
          <w:szCs w:val="24"/>
        </w:rPr>
        <w:t>Yankey</w:t>
      </w:r>
      <w:proofErr w:type="spellEnd"/>
      <w:r w:rsidRPr="00031AC7">
        <w:rPr>
          <w:sz w:val="24"/>
          <w:szCs w:val="24"/>
        </w:rPr>
        <w:t xml:space="preserve"> D, </w:t>
      </w:r>
      <w:proofErr w:type="spellStart"/>
      <w:r w:rsidRPr="00031AC7">
        <w:rPr>
          <w:sz w:val="24"/>
          <w:szCs w:val="24"/>
        </w:rPr>
        <w:t>Jeyarajah</w:t>
      </w:r>
      <w:proofErr w:type="spellEnd"/>
      <w:r w:rsidRPr="00031AC7">
        <w:rPr>
          <w:sz w:val="24"/>
          <w:szCs w:val="24"/>
        </w:rPr>
        <w:t xml:space="preserve"> J, et al. National, regional, state, and local area vaccination coverage among adolescents aged 13-17 years—United States, 2015. </w:t>
      </w:r>
      <w:r w:rsidRPr="00031AC7">
        <w:rPr>
          <w:i/>
          <w:sz w:val="24"/>
          <w:szCs w:val="24"/>
        </w:rPr>
        <w:t>MMWR.</w:t>
      </w:r>
      <w:r w:rsidRPr="00031AC7">
        <w:rPr>
          <w:sz w:val="24"/>
          <w:szCs w:val="24"/>
        </w:rPr>
        <w:t xml:space="preserve"> 2016;65(33):850-858.  </w:t>
      </w:r>
    </w:p>
    <w:p w14:paraId="267ECF15" w14:textId="77777777" w:rsidR="00EB0AD8" w:rsidRPr="00031AC7" w:rsidRDefault="00EB0AD8" w:rsidP="00031AC7">
      <w:pPr>
        <w:spacing w:line="360" w:lineRule="auto"/>
        <w:ind w:left="450" w:hanging="450"/>
        <w:rPr>
          <w:sz w:val="24"/>
          <w:szCs w:val="24"/>
        </w:rPr>
      </w:pPr>
      <w:r w:rsidRPr="00031AC7">
        <w:rPr>
          <w:sz w:val="24"/>
          <w:szCs w:val="24"/>
        </w:rPr>
        <w:t xml:space="preserve">5. </w:t>
      </w:r>
      <w:r w:rsidRPr="00031AC7">
        <w:rPr>
          <w:sz w:val="24"/>
          <w:szCs w:val="24"/>
        </w:rPr>
        <w:tab/>
      </w:r>
      <w:proofErr w:type="spellStart"/>
      <w:r w:rsidRPr="00031AC7">
        <w:rPr>
          <w:sz w:val="24"/>
          <w:szCs w:val="24"/>
        </w:rPr>
        <w:t>Meites</w:t>
      </w:r>
      <w:proofErr w:type="spellEnd"/>
      <w:r w:rsidRPr="00031AC7">
        <w:rPr>
          <w:sz w:val="24"/>
          <w:szCs w:val="24"/>
        </w:rPr>
        <w:t xml:space="preserve"> E, Kempe A, Markowitz LE. Use of a 2-dose schedule for human papillomavirus vaccination—updated recommendations of the Advisory Committee on Immunization Practices. </w:t>
      </w:r>
      <w:r w:rsidRPr="00031AC7">
        <w:rPr>
          <w:i/>
          <w:sz w:val="24"/>
          <w:szCs w:val="24"/>
        </w:rPr>
        <w:t>MMWR.</w:t>
      </w:r>
      <w:r w:rsidRPr="00031AC7">
        <w:rPr>
          <w:sz w:val="24"/>
          <w:szCs w:val="24"/>
        </w:rPr>
        <w:t xml:space="preserve"> </w:t>
      </w:r>
      <w:proofErr w:type="gramStart"/>
      <w:r w:rsidRPr="00031AC7">
        <w:rPr>
          <w:sz w:val="24"/>
          <w:szCs w:val="24"/>
        </w:rPr>
        <w:t>2016;65:1405</w:t>
      </w:r>
      <w:proofErr w:type="gramEnd"/>
      <w:r w:rsidRPr="00031AC7">
        <w:rPr>
          <w:sz w:val="24"/>
          <w:szCs w:val="24"/>
        </w:rPr>
        <w:t xml:space="preserve">-1408. </w:t>
      </w:r>
    </w:p>
    <w:p w14:paraId="69DB237B" w14:textId="77777777" w:rsidR="00EB0AD8" w:rsidRPr="00031AC7" w:rsidRDefault="00EB0AD8" w:rsidP="00031AC7">
      <w:pPr>
        <w:spacing w:line="360" w:lineRule="auto"/>
        <w:ind w:left="450" w:hanging="450"/>
        <w:rPr>
          <w:sz w:val="24"/>
          <w:szCs w:val="24"/>
        </w:rPr>
      </w:pPr>
      <w:r w:rsidRPr="00031AC7">
        <w:rPr>
          <w:sz w:val="24"/>
          <w:szCs w:val="24"/>
        </w:rPr>
        <w:t xml:space="preserve">6. </w:t>
      </w:r>
      <w:r w:rsidRPr="00031AC7">
        <w:rPr>
          <w:sz w:val="24"/>
          <w:szCs w:val="24"/>
        </w:rPr>
        <w:tab/>
        <w:t xml:space="preserve">Romanowski B, Schwarz TF, Ferguson L, et al. Sustained immunogenicity of the HPV-16/18 AS04-adjuvanted vaccine administered as a two-dose schedule in adolescent girls: Five-year clinical data and modeling predictions from a randomized study. </w:t>
      </w:r>
      <w:r w:rsidRPr="00031AC7">
        <w:rPr>
          <w:i/>
          <w:sz w:val="24"/>
          <w:szCs w:val="24"/>
        </w:rPr>
        <w:t xml:space="preserve">Human Vaccines &amp; </w:t>
      </w:r>
      <w:proofErr w:type="spellStart"/>
      <w:r w:rsidRPr="00031AC7">
        <w:rPr>
          <w:i/>
          <w:sz w:val="24"/>
          <w:szCs w:val="24"/>
        </w:rPr>
        <w:t>Immunotherapeutics</w:t>
      </w:r>
      <w:proofErr w:type="spellEnd"/>
      <w:r w:rsidRPr="00031AC7">
        <w:rPr>
          <w:sz w:val="24"/>
          <w:szCs w:val="24"/>
        </w:rPr>
        <w:t xml:space="preserve"> 2016; 12(1): 20-29. </w:t>
      </w:r>
    </w:p>
    <w:p w14:paraId="16ED1122" w14:textId="77777777" w:rsidR="00EB0AD8" w:rsidRPr="00031AC7" w:rsidRDefault="00EB0AD8" w:rsidP="00031AC7">
      <w:pPr>
        <w:spacing w:line="360" w:lineRule="auto"/>
        <w:ind w:left="450" w:hanging="450"/>
        <w:rPr>
          <w:sz w:val="24"/>
          <w:szCs w:val="24"/>
        </w:rPr>
      </w:pPr>
      <w:r w:rsidRPr="00031AC7">
        <w:rPr>
          <w:sz w:val="24"/>
          <w:szCs w:val="24"/>
        </w:rPr>
        <w:t xml:space="preserve">7. </w:t>
      </w:r>
      <w:r w:rsidRPr="00031AC7">
        <w:rPr>
          <w:sz w:val="24"/>
          <w:szCs w:val="24"/>
        </w:rPr>
        <w:tab/>
        <w:t xml:space="preserve">Malo TL, Gilkey MB, Hall ME, et al. Messages to motivate human papillomavirus vaccination: national studies of parents and physicians. </w:t>
      </w:r>
      <w:r w:rsidRPr="00031AC7">
        <w:rPr>
          <w:i/>
          <w:sz w:val="24"/>
          <w:szCs w:val="24"/>
        </w:rPr>
        <w:t>Cancer Epidemiol Biomarkers Prev.</w:t>
      </w:r>
      <w:r w:rsidRPr="00031AC7">
        <w:rPr>
          <w:sz w:val="24"/>
          <w:szCs w:val="24"/>
        </w:rPr>
        <w:t xml:space="preserve"> 2016;25(10):1383-1391.   </w:t>
      </w:r>
    </w:p>
    <w:p w14:paraId="0DA9061F" w14:textId="55A49581" w:rsidR="004C5E84" w:rsidRPr="00031AC7" w:rsidRDefault="00EB0AD8" w:rsidP="00031AC7">
      <w:pPr>
        <w:pStyle w:val="BodyText"/>
        <w:spacing w:before="0" w:line="360" w:lineRule="auto"/>
        <w:ind w:left="450" w:right="942" w:hanging="450"/>
      </w:pPr>
      <w:r w:rsidRPr="00031AC7">
        <w:t xml:space="preserve">8. </w:t>
      </w:r>
      <w:r w:rsidRPr="00031AC7">
        <w:tab/>
        <w:t xml:space="preserve">Gilkey MB, Malo TL, Hall ME, Brewer NT. Quality of physician communication about human papillomavirus vaccine: findings from a national survey. </w:t>
      </w:r>
      <w:r w:rsidRPr="00031AC7">
        <w:rPr>
          <w:i/>
        </w:rPr>
        <w:t>Cancer Epidemiol Biomarkers Prev.</w:t>
      </w:r>
      <w:r w:rsidRPr="00031AC7">
        <w:t xml:space="preserve"> 2015;24(11):1673-1679.</w:t>
      </w:r>
    </w:p>
    <w:sectPr w:rsidR="004C5E84" w:rsidRPr="00031AC7" w:rsidSect="00031AC7">
      <w:pgSz w:w="12240" w:h="15840"/>
      <w:pgMar w:top="1440" w:right="1440" w:bottom="1440" w:left="1440" w:header="0" w:footer="1210"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58B2C" w14:textId="77777777" w:rsidR="004B428F" w:rsidRDefault="004B428F">
      <w:r>
        <w:separator/>
      </w:r>
    </w:p>
  </w:endnote>
  <w:endnote w:type="continuationSeparator" w:id="0">
    <w:p w14:paraId="11FAE9C9" w14:textId="77777777" w:rsidR="004B428F" w:rsidRDefault="004B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FDC6" w14:textId="77777777" w:rsidR="0025018A" w:rsidRDefault="00250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F710" w14:textId="691B32C9" w:rsidR="004C5E84" w:rsidRDefault="008D2E89">
    <w:pPr>
      <w:pStyle w:val="BodyText"/>
      <w:spacing w:before="0" w:line="14" w:lineRule="auto"/>
      <w:ind w:left="0"/>
      <w:rPr>
        <w:sz w:val="20"/>
      </w:rPr>
    </w:pPr>
    <w:r>
      <w:rPr>
        <w:noProof/>
        <w:lang w:bidi="ar-SA"/>
      </w:rPr>
      <mc:AlternateContent>
        <mc:Choice Requires="wps">
          <w:drawing>
            <wp:anchor distT="0" distB="0" distL="114300" distR="114300" simplePos="0" relativeHeight="251657216" behindDoc="1" locked="0" layoutInCell="1" allowOverlap="1" wp14:anchorId="1E9315EA" wp14:editId="4F436F8C">
              <wp:simplePos x="0" y="0"/>
              <wp:positionH relativeFrom="page">
                <wp:posOffset>3822700</wp:posOffset>
              </wp:positionH>
              <wp:positionV relativeFrom="page">
                <wp:posOffset>9147810</wp:posOffset>
              </wp:positionV>
              <wp:extent cx="127000" cy="194310"/>
              <wp:effectExtent l="3175" t="3810" r="317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C65C9" w14:textId="77777777" w:rsidR="004C5E84" w:rsidRDefault="008B6369">
                          <w:pPr>
                            <w:pStyle w:val="BodyText"/>
                            <w:spacing w:before="10"/>
                            <w:ind w:left="40"/>
                          </w:pPr>
                          <w:r>
                            <w:fldChar w:fldCharType="begin"/>
                          </w:r>
                          <w:r>
                            <w:instrText xml:space="preserve"> PAGE </w:instrText>
                          </w:r>
                          <w:r>
                            <w:fldChar w:fldCharType="separate"/>
                          </w:r>
                          <w:r w:rsidR="008D2E89">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315EA" id="_x0000_t202" coordsize="21600,21600" o:spt="202" path="m,l,21600r21600,l21600,xe">
              <v:stroke joinstyle="miter"/>
              <v:path gradientshapeok="t" o:connecttype="rect"/>
            </v:shapetype>
            <v:shape id="Text Box 1" o:spid="_x0000_s1026" type="#_x0000_t202" style="position:absolute;margin-left:301pt;margin-top:720.3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" filled="f" stroked="f">
              <v:textbox inset="0,0,0,0">
                <w:txbxContent>
                  <w:p w14:paraId="0BBC65C9" w14:textId="77777777" w:rsidR="004C5E84" w:rsidRDefault="008B6369">
                    <w:pPr>
                      <w:pStyle w:val="BodyText"/>
                      <w:spacing w:before="10"/>
                      <w:ind w:left="40"/>
                    </w:pPr>
                    <w:r>
                      <w:fldChar w:fldCharType="begin"/>
                    </w:r>
                    <w:r>
                      <w:instrText xml:space="preserve"> PAGE </w:instrText>
                    </w:r>
                    <w:r>
                      <w:fldChar w:fldCharType="separate"/>
                    </w:r>
                    <w:r w:rsidR="008D2E89">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0F1F" w14:textId="77777777" w:rsidR="0025018A" w:rsidRDefault="00250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7E0ED" w14:textId="77777777" w:rsidR="004B428F" w:rsidRDefault="004B428F">
      <w:r>
        <w:separator/>
      </w:r>
    </w:p>
  </w:footnote>
  <w:footnote w:type="continuationSeparator" w:id="0">
    <w:p w14:paraId="20130A2D" w14:textId="77777777" w:rsidR="004B428F" w:rsidRDefault="004B4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5DE3" w14:textId="77777777" w:rsidR="0025018A" w:rsidRDefault="00250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6D74" w14:textId="180BA5D6" w:rsidR="0025018A" w:rsidRDefault="002501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8D8D" w14:textId="77777777" w:rsidR="0025018A" w:rsidRDefault="002501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2C88"/>
    <w:multiLevelType w:val="hybridMultilevel"/>
    <w:tmpl w:val="44FCC448"/>
    <w:lvl w:ilvl="0" w:tplc="A10A98F0">
      <w:start w:val="105"/>
      <w:numFmt w:val="decimal"/>
      <w:lvlText w:val="%1"/>
      <w:lvlJc w:val="left"/>
      <w:pPr>
        <w:ind w:left="840" w:hanging="720"/>
        <w:jc w:val="left"/>
      </w:pPr>
      <w:rPr>
        <w:rFonts w:ascii="Times New Roman" w:eastAsia="Times New Roman" w:hAnsi="Times New Roman" w:cs="Times New Roman" w:hint="default"/>
        <w:spacing w:val="-8"/>
        <w:w w:val="99"/>
        <w:sz w:val="24"/>
        <w:szCs w:val="24"/>
        <w:lang w:val="en-US" w:eastAsia="en-US" w:bidi="en-US"/>
      </w:rPr>
    </w:lvl>
    <w:lvl w:ilvl="1" w:tplc="B636DAB2">
      <w:numFmt w:val="bullet"/>
      <w:lvlText w:val="•"/>
      <w:lvlJc w:val="left"/>
      <w:pPr>
        <w:ind w:left="1786" w:hanging="720"/>
      </w:pPr>
      <w:rPr>
        <w:rFonts w:hint="default"/>
        <w:lang w:val="en-US" w:eastAsia="en-US" w:bidi="en-US"/>
      </w:rPr>
    </w:lvl>
    <w:lvl w:ilvl="2" w:tplc="885CBDC0">
      <w:numFmt w:val="bullet"/>
      <w:lvlText w:val="•"/>
      <w:lvlJc w:val="left"/>
      <w:pPr>
        <w:ind w:left="2732" w:hanging="720"/>
      </w:pPr>
      <w:rPr>
        <w:rFonts w:hint="default"/>
        <w:lang w:val="en-US" w:eastAsia="en-US" w:bidi="en-US"/>
      </w:rPr>
    </w:lvl>
    <w:lvl w:ilvl="3" w:tplc="E5CC867A">
      <w:numFmt w:val="bullet"/>
      <w:lvlText w:val="•"/>
      <w:lvlJc w:val="left"/>
      <w:pPr>
        <w:ind w:left="3678" w:hanging="720"/>
      </w:pPr>
      <w:rPr>
        <w:rFonts w:hint="default"/>
        <w:lang w:val="en-US" w:eastAsia="en-US" w:bidi="en-US"/>
      </w:rPr>
    </w:lvl>
    <w:lvl w:ilvl="4" w:tplc="94D2C444">
      <w:numFmt w:val="bullet"/>
      <w:lvlText w:val="•"/>
      <w:lvlJc w:val="left"/>
      <w:pPr>
        <w:ind w:left="4624" w:hanging="720"/>
      </w:pPr>
      <w:rPr>
        <w:rFonts w:hint="default"/>
        <w:lang w:val="en-US" w:eastAsia="en-US" w:bidi="en-US"/>
      </w:rPr>
    </w:lvl>
    <w:lvl w:ilvl="5" w:tplc="EB026848">
      <w:numFmt w:val="bullet"/>
      <w:lvlText w:val="•"/>
      <w:lvlJc w:val="left"/>
      <w:pPr>
        <w:ind w:left="5570" w:hanging="720"/>
      </w:pPr>
      <w:rPr>
        <w:rFonts w:hint="default"/>
        <w:lang w:val="en-US" w:eastAsia="en-US" w:bidi="en-US"/>
      </w:rPr>
    </w:lvl>
    <w:lvl w:ilvl="6" w:tplc="1688C366">
      <w:numFmt w:val="bullet"/>
      <w:lvlText w:val="•"/>
      <w:lvlJc w:val="left"/>
      <w:pPr>
        <w:ind w:left="6516" w:hanging="720"/>
      </w:pPr>
      <w:rPr>
        <w:rFonts w:hint="default"/>
        <w:lang w:val="en-US" w:eastAsia="en-US" w:bidi="en-US"/>
      </w:rPr>
    </w:lvl>
    <w:lvl w:ilvl="7" w:tplc="96166410">
      <w:numFmt w:val="bullet"/>
      <w:lvlText w:val="•"/>
      <w:lvlJc w:val="left"/>
      <w:pPr>
        <w:ind w:left="7462" w:hanging="720"/>
      </w:pPr>
      <w:rPr>
        <w:rFonts w:hint="default"/>
        <w:lang w:val="en-US" w:eastAsia="en-US" w:bidi="en-US"/>
      </w:rPr>
    </w:lvl>
    <w:lvl w:ilvl="8" w:tplc="53346E6E">
      <w:numFmt w:val="bullet"/>
      <w:lvlText w:val="•"/>
      <w:lvlJc w:val="left"/>
      <w:pPr>
        <w:ind w:left="8408" w:hanging="720"/>
      </w:pPr>
      <w:rPr>
        <w:rFonts w:hint="default"/>
        <w:lang w:val="en-US" w:eastAsia="en-US" w:bidi="en-US"/>
      </w:rPr>
    </w:lvl>
  </w:abstractNum>
  <w:abstractNum w:abstractNumId="1" w15:restartNumberingAfterBreak="0">
    <w:nsid w:val="0D244CB0"/>
    <w:multiLevelType w:val="hybridMultilevel"/>
    <w:tmpl w:val="1EF04098"/>
    <w:lvl w:ilvl="0" w:tplc="9170229A">
      <w:start w:val="18"/>
      <w:numFmt w:val="decimal"/>
      <w:lvlText w:val="%1"/>
      <w:lvlJc w:val="left"/>
      <w:pPr>
        <w:ind w:left="1380" w:hanging="1140"/>
        <w:jc w:val="left"/>
      </w:pPr>
      <w:rPr>
        <w:rFonts w:ascii="Times New Roman" w:eastAsia="Times New Roman" w:hAnsi="Times New Roman" w:cs="Times New Roman" w:hint="default"/>
        <w:b w:val="0"/>
        <w:bCs w:val="0"/>
        <w:spacing w:val="-8"/>
        <w:w w:val="99"/>
        <w:sz w:val="24"/>
        <w:szCs w:val="24"/>
        <w:lang w:val="en-US" w:eastAsia="en-US" w:bidi="en-US"/>
      </w:rPr>
    </w:lvl>
    <w:lvl w:ilvl="1" w:tplc="9D74ED08">
      <w:numFmt w:val="bullet"/>
      <w:lvlText w:val="•"/>
      <w:lvlJc w:val="left"/>
      <w:pPr>
        <w:ind w:left="2272" w:hanging="1140"/>
      </w:pPr>
      <w:rPr>
        <w:rFonts w:hint="default"/>
        <w:lang w:val="en-US" w:eastAsia="en-US" w:bidi="en-US"/>
      </w:rPr>
    </w:lvl>
    <w:lvl w:ilvl="2" w:tplc="105AAB78">
      <w:numFmt w:val="bullet"/>
      <w:lvlText w:val="•"/>
      <w:lvlJc w:val="left"/>
      <w:pPr>
        <w:ind w:left="3164" w:hanging="1140"/>
      </w:pPr>
      <w:rPr>
        <w:rFonts w:hint="default"/>
        <w:lang w:val="en-US" w:eastAsia="en-US" w:bidi="en-US"/>
      </w:rPr>
    </w:lvl>
    <w:lvl w:ilvl="3" w:tplc="85885358">
      <w:numFmt w:val="bullet"/>
      <w:lvlText w:val="•"/>
      <w:lvlJc w:val="left"/>
      <w:pPr>
        <w:ind w:left="4056" w:hanging="1140"/>
      </w:pPr>
      <w:rPr>
        <w:rFonts w:hint="default"/>
        <w:lang w:val="en-US" w:eastAsia="en-US" w:bidi="en-US"/>
      </w:rPr>
    </w:lvl>
    <w:lvl w:ilvl="4" w:tplc="ADEA7768">
      <w:numFmt w:val="bullet"/>
      <w:lvlText w:val="•"/>
      <w:lvlJc w:val="left"/>
      <w:pPr>
        <w:ind w:left="4948" w:hanging="1140"/>
      </w:pPr>
      <w:rPr>
        <w:rFonts w:hint="default"/>
        <w:lang w:val="en-US" w:eastAsia="en-US" w:bidi="en-US"/>
      </w:rPr>
    </w:lvl>
    <w:lvl w:ilvl="5" w:tplc="75548F54">
      <w:numFmt w:val="bullet"/>
      <w:lvlText w:val="•"/>
      <w:lvlJc w:val="left"/>
      <w:pPr>
        <w:ind w:left="5840" w:hanging="1140"/>
      </w:pPr>
      <w:rPr>
        <w:rFonts w:hint="default"/>
        <w:lang w:val="en-US" w:eastAsia="en-US" w:bidi="en-US"/>
      </w:rPr>
    </w:lvl>
    <w:lvl w:ilvl="6" w:tplc="283E3B76">
      <w:numFmt w:val="bullet"/>
      <w:lvlText w:val="•"/>
      <w:lvlJc w:val="left"/>
      <w:pPr>
        <w:ind w:left="6732" w:hanging="1140"/>
      </w:pPr>
      <w:rPr>
        <w:rFonts w:hint="default"/>
        <w:lang w:val="en-US" w:eastAsia="en-US" w:bidi="en-US"/>
      </w:rPr>
    </w:lvl>
    <w:lvl w:ilvl="7" w:tplc="6C22B22A">
      <w:numFmt w:val="bullet"/>
      <w:lvlText w:val="•"/>
      <w:lvlJc w:val="left"/>
      <w:pPr>
        <w:ind w:left="7624" w:hanging="1140"/>
      </w:pPr>
      <w:rPr>
        <w:rFonts w:hint="default"/>
        <w:lang w:val="en-US" w:eastAsia="en-US" w:bidi="en-US"/>
      </w:rPr>
    </w:lvl>
    <w:lvl w:ilvl="8" w:tplc="923A5604">
      <w:numFmt w:val="bullet"/>
      <w:lvlText w:val="•"/>
      <w:lvlJc w:val="left"/>
      <w:pPr>
        <w:ind w:left="8516" w:hanging="1140"/>
      </w:pPr>
      <w:rPr>
        <w:rFonts w:hint="default"/>
        <w:lang w:val="en-US" w:eastAsia="en-US" w:bidi="en-US"/>
      </w:rPr>
    </w:lvl>
  </w:abstractNum>
  <w:abstractNum w:abstractNumId="2" w15:restartNumberingAfterBreak="0">
    <w:nsid w:val="127B1BB3"/>
    <w:multiLevelType w:val="hybridMultilevel"/>
    <w:tmpl w:val="918A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3318D"/>
    <w:multiLevelType w:val="hybridMultilevel"/>
    <w:tmpl w:val="4D10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50DFB"/>
    <w:multiLevelType w:val="hybridMultilevel"/>
    <w:tmpl w:val="097E76C8"/>
    <w:lvl w:ilvl="0" w:tplc="545EF4CC">
      <w:numFmt w:val="bullet"/>
      <w:lvlText w:val=""/>
      <w:lvlJc w:val="left"/>
      <w:pPr>
        <w:ind w:left="1560" w:hanging="360"/>
      </w:pPr>
      <w:rPr>
        <w:rFonts w:ascii="Symbol" w:eastAsia="Symbol" w:hAnsi="Symbol" w:cs="Symbol" w:hint="default"/>
        <w:w w:val="100"/>
        <w:sz w:val="24"/>
        <w:szCs w:val="24"/>
        <w:lang w:val="en-US" w:eastAsia="en-US" w:bidi="en-US"/>
      </w:rPr>
    </w:lvl>
    <w:lvl w:ilvl="1" w:tplc="D1487420">
      <w:numFmt w:val="bullet"/>
      <w:lvlText w:val="•"/>
      <w:lvlJc w:val="left"/>
      <w:pPr>
        <w:ind w:left="2434" w:hanging="360"/>
      </w:pPr>
      <w:rPr>
        <w:rFonts w:hint="default"/>
        <w:lang w:val="en-US" w:eastAsia="en-US" w:bidi="en-US"/>
      </w:rPr>
    </w:lvl>
    <w:lvl w:ilvl="2" w:tplc="7C3EDDE6">
      <w:numFmt w:val="bullet"/>
      <w:lvlText w:val="•"/>
      <w:lvlJc w:val="left"/>
      <w:pPr>
        <w:ind w:left="3308" w:hanging="360"/>
      </w:pPr>
      <w:rPr>
        <w:rFonts w:hint="default"/>
        <w:lang w:val="en-US" w:eastAsia="en-US" w:bidi="en-US"/>
      </w:rPr>
    </w:lvl>
    <w:lvl w:ilvl="3" w:tplc="4268E2FE">
      <w:numFmt w:val="bullet"/>
      <w:lvlText w:val="•"/>
      <w:lvlJc w:val="left"/>
      <w:pPr>
        <w:ind w:left="4182" w:hanging="360"/>
      </w:pPr>
      <w:rPr>
        <w:rFonts w:hint="default"/>
        <w:lang w:val="en-US" w:eastAsia="en-US" w:bidi="en-US"/>
      </w:rPr>
    </w:lvl>
    <w:lvl w:ilvl="4" w:tplc="C6A0A4CA">
      <w:numFmt w:val="bullet"/>
      <w:lvlText w:val="•"/>
      <w:lvlJc w:val="left"/>
      <w:pPr>
        <w:ind w:left="5056" w:hanging="360"/>
      </w:pPr>
      <w:rPr>
        <w:rFonts w:hint="default"/>
        <w:lang w:val="en-US" w:eastAsia="en-US" w:bidi="en-US"/>
      </w:rPr>
    </w:lvl>
    <w:lvl w:ilvl="5" w:tplc="535A0370">
      <w:numFmt w:val="bullet"/>
      <w:lvlText w:val="•"/>
      <w:lvlJc w:val="left"/>
      <w:pPr>
        <w:ind w:left="5930" w:hanging="360"/>
      </w:pPr>
      <w:rPr>
        <w:rFonts w:hint="default"/>
        <w:lang w:val="en-US" w:eastAsia="en-US" w:bidi="en-US"/>
      </w:rPr>
    </w:lvl>
    <w:lvl w:ilvl="6" w:tplc="42449EBA">
      <w:numFmt w:val="bullet"/>
      <w:lvlText w:val="•"/>
      <w:lvlJc w:val="left"/>
      <w:pPr>
        <w:ind w:left="6804" w:hanging="360"/>
      </w:pPr>
      <w:rPr>
        <w:rFonts w:hint="default"/>
        <w:lang w:val="en-US" w:eastAsia="en-US" w:bidi="en-US"/>
      </w:rPr>
    </w:lvl>
    <w:lvl w:ilvl="7" w:tplc="EF02BEDE">
      <w:numFmt w:val="bullet"/>
      <w:lvlText w:val="•"/>
      <w:lvlJc w:val="left"/>
      <w:pPr>
        <w:ind w:left="7678" w:hanging="360"/>
      </w:pPr>
      <w:rPr>
        <w:rFonts w:hint="default"/>
        <w:lang w:val="en-US" w:eastAsia="en-US" w:bidi="en-US"/>
      </w:rPr>
    </w:lvl>
    <w:lvl w:ilvl="8" w:tplc="D78467FE">
      <w:numFmt w:val="bullet"/>
      <w:lvlText w:val="•"/>
      <w:lvlJc w:val="left"/>
      <w:pPr>
        <w:ind w:left="8552" w:hanging="360"/>
      </w:pPr>
      <w:rPr>
        <w:rFonts w:hint="default"/>
        <w:lang w:val="en-US" w:eastAsia="en-US" w:bidi="en-US"/>
      </w:rPr>
    </w:lvl>
  </w:abstractNum>
  <w:abstractNum w:abstractNumId="5" w15:restartNumberingAfterBreak="0">
    <w:nsid w:val="2EA10B54"/>
    <w:multiLevelType w:val="hybridMultilevel"/>
    <w:tmpl w:val="8572C4C6"/>
    <w:lvl w:ilvl="0" w:tplc="95101912">
      <w:start w:val="8"/>
      <w:numFmt w:val="decimal"/>
      <w:lvlText w:val="%1"/>
      <w:lvlJc w:val="left"/>
      <w:pPr>
        <w:ind w:left="1111" w:hanging="752"/>
        <w:jc w:val="right"/>
      </w:pPr>
      <w:rPr>
        <w:rFonts w:ascii="Times New Roman" w:eastAsia="Times New Roman" w:hAnsi="Times New Roman" w:cs="Times New Roman" w:hint="default"/>
        <w:spacing w:val="-22"/>
        <w:w w:val="99"/>
        <w:sz w:val="24"/>
        <w:szCs w:val="24"/>
        <w:lang w:val="en-US" w:eastAsia="en-US" w:bidi="en-US"/>
      </w:rPr>
    </w:lvl>
    <w:lvl w:ilvl="1" w:tplc="48E4A230">
      <w:numFmt w:val="bullet"/>
      <w:lvlText w:val="•"/>
      <w:lvlJc w:val="left"/>
      <w:pPr>
        <w:ind w:left="2038" w:hanging="752"/>
      </w:pPr>
      <w:rPr>
        <w:rFonts w:hint="default"/>
        <w:lang w:val="en-US" w:eastAsia="en-US" w:bidi="en-US"/>
      </w:rPr>
    </w:lvl>
    <w:lvl w:ilvl="2" w:tplc="986E5E4E">
      <w:numFmt w:val="bullet"/>
      <w:lvlText w:val="•"/>
      <w:lvlJc w:val="left"/>
      <w:pPr>
        <w:ind w:left="2956" w:hanging="752"/>
      </w:pPr>
      <w:rPr>
        <w:rFonts w:hint="default"/>
        <w:lang w:val="en-US" w:eastAsia="en-US" w:bidi="en-US"/>
      </w:rPr>
    </w:lvl>
    <w:lvl w:ilvl="3" w:tplc="610CA8F4">
      <w:numFmt w:val="bullet"/>
      <w:lvlText w:val="•"/>
      <w:lvlJc w:val="left"/>
      <w:pPr>
        <w:ind w:left="3874" w:hanging="752"/>
      </w:pPr>
      <w:rPr>
        <w:rFonts w:hint="default"/>
        <w:lang w:val="en-US" w:eastAsia="en-US" w:bidi="en-US"/>
      </w:rPr>
    </w:lvl>
    <w:lvl w:ilvl="4" w:tplc="22023320">
      <w:numFmt w:val="bullet"/>
      <w:lvlText w:val="•"/>
      <w:lvlJc w:val="left"/>
      <w:pPr>
        <w:ind w:left="4792" w:hanging="752"/>
      </w:pPr>
      <w:rPr>
        <w:rFonts w:hint="default"/>
        <w:lang w:val="en-US" w:eastAsia="en-US" w:bidi="en-US"/>
      </w:rPr>
    </w:lvl>
    <w:lvl w:ilvl="5" w:tplc="E00E2668">
      <w:numFmt w:val="bullet"/>
      <w:lvlText w:val="•"/>
      <w:lvlJc w:val="left"/>
      <w:pPr>
        <w:ind w:left="5710" w:hanging="752"/>
      </w:pPr>
      <w:rPr>
        <w:rFonts w:hint="default"/>
        <w:lang w:val="en-US" w:eastAsia="en-US" w:bidi="en-US"/>
      </w:rPr>
    </w:lvl>
    <w:lvl w:ilvl="6" w:tplc="CA3CD618">
      <w:numFmt w:val="bullet"/>
      <w:lvlText w:val="•"/>
      <w:lvlJc w:val="left"/>
      <w:pPr>
        <w:ind w:left="6628" w:hanging="752"/>
      </w:pPr>
      <w:rPr>
        <w:rFonts w:hint="default"/>
        <w:lang w:val="en-US" w:eastAsia="en-US" w:bidi="en-US"/>
      </w:rPr>
    </w:lvl>
    <w:lvl w:ilvl="7" w:tplc="FEA24360">
      <w:numFmt w:val="bullet"/>
      <w:lvlText w:val="•"/>
      <w:lvlJc w:val="left"/>
      <w:pPr>
        <w:ind w:left="7546" w:hanging="752"/>
      </w:pPr>
      <w:rPr>
        <w:rFonts w:hint="default"/>
        <w:lang w:val="en-US" w:eastAsia="en-US" w:bidi="en-US"/>
      </w:rPr>
    </w:lvl>
    <w:lvl w:ilvl="8" w:tplc="23B8960C">
      <w:numFmt w:val="bullet"/>
      <w:lvlText w:val="•"/>
      <w:lvlJc w:val="left"/>
      <w:pPr>
        <w:ind w:left="8464" w:hanging="752"/>
      </w:pPr>
      <w:rPr>
        <w:rFonts w:hint="default"/>
        <w:lang w:val="en-US" w:eastAsia="en-US" w:bidi="en-US"/>
      </w:rPr>
    </w:lvl>
  </w:abstractNum>
  <w:abstractNum w:abstractNumId="6" w15:restartNumberingAfterBreak="0">
    <w:nsid w:val="5F8F42AD"/>
    <w:multiLevelType w:val="hybridMultilevel"/>
    <w:tmpl w:val="6E24B4C8"/>
    <w:lvl w:ilvl="0" w:tplc="EDF2DBF4">
      <w:start w:val="115"/>
      <w:numFmt w:val="decimal"/>
      <w:lvlText w:val="%1"/>
      <w:lvlJc w:val="left"/>
      <w:pPr>
        <w:ind w:left="840" w:hanging="720"/>
        <w:jc w:val="left"/>
      </w:pPr>
      <w:rPr>
        <w:rFonts w:ascii="Times New Roman" w:eastAsia="Times New Roman" w:hAnsi="Times New Roman" w:cs="Times New Roman" w:hint="default"/>
        <w:spacing w:val="-3"/>
        <w:w w:val="99"/>
        <w:sz w:val="24"/>
        <w:szCs w:val="24"/>
        <w:lang w:val="en-US" w:eastAsia="en-US" w:bidi="en-US"/>
      </w:rPr>
    </w:lvl>
    <w:lvl w:ilvl="1" w:tplc="CB16BA62">
      <w:numFmt w:val="bullet"/>
      <w:lvlText w:val="•"/>
      <w:lvlJc w:val="left"/>
      <w:pPr>
        <w:ind w:left="1786" w:hanging="720"/>
      </w:pPr>
      <w:rPr>
        <w:rFonts w:hint="default"/>
        <w:lang w:val="en-US" w:eastAsia="en-US" w:bidi="en-US"/>
      </w:rPr>
    </w:lvl>
    <w:lvl w:ilvl="2" w:tplc="E5C8D75E">
      <w:numFmt w:val="bullet"/>
      <w:lvlText w:val="•"/>
      <w:lvlJc w:val="left"/>
      <w:pPr>
        <w:ind w:left="2732" w:hanging="720"/>
      </w:pPr>
      <w:rPr>
        <w:rFonts w:hint="default"/>
        <w:lang w:val="en-US" w:eastAsia="en-US" w:bidi="en-US"/>
      </w:rPr>
    </w:lvl>
    <w:lvl w:ilvl="3" w:tplc="EF44C50A">
      <w:numFmt w:val="bullet"/>
      <w:lvlText w:val="•"/>
      <w:lvlJc w:val="left"/>
      <w:pPr>
        <w:ind w:left="3678" w:hanging="720"/>
      </w:pPr>
      <w:rPr>
        <w:rFonts w:hint="default"/>
        <w:lang w:val="en-US" w:eastAsia="en-US" w:bidi="en-US"/>
      </w:rPr>
    </w:lvl>
    <w:lvl w:ilvl="4" w:tplc="C5805B16">
      <w:numFmt w:val="bullet"/>
      <w:lvlText w:val="•"/>
      <w:lvlJc w:val="left"/>
      <w:pPr>
        <w:ind w:left="4624" w:hanging="720"/>
      </w:pPr>
      <w:rPr>
        <w:rFonts w:hint="default"/>
        <w:lang w:val="en-US" w:eastAsia="en-US" w:bidi="en-US"/>
      </w:rPr>
    </w:lvl>
    <w:lvl w:ilvl="5" w:tplc="E3EEC66E">
      <w:numFmt w:val="bullet"/>
      <w:lvlText w:val="•"/>
      <w:lvlJc w:val="left"/>
      <w:pPr>
        <w:ind w:left="5570" w:hanging="720"/>
      </w:pPr>
      <w:rPr>
        <w:rFonts w:hint="default"/>
        <w:lang w:val="en-US" w:eastAsia="en-US" w:bidi="en-US"/>
      </w:rPr>
    </w:lvl>
    <w:lvl w:ilvl="6" w:tplc="E45E9B2A">
      <w:numFmt w:val="bullet"/>
      <w:lvlText w:val="•"/>
      <w:lvlJc w:val="left"/>
      <w:pPr>
        <w:ind w:left="6516" w:hanging="720"/>
      </w:pPr>
      <w:rPr>
        <w:rFonts w:hint="default"/>
        <w:lang w:val="en-US" w:eastAsia="en-US" w:bidi="en-US"/>
      </w:rPr>
    </w:lvl>
    <w:lvl w:ilvl="7" w:tplc="413033CC">
      <w:numFmt w:val="bullet"/>
      <w:lvlText w:val="•"/>
      <w:lvlJc w:val="left"/>
      <w:pPr>
        <w:ind w:left="7462" w:hanging="720"/>
      </w:pPr>
      <w:rPr>
        <w:rFonts w:hint="default"/>
        <w:lang w:val="en-US" w:eastAsia="en-US" w:bidi="en-US"/>
      </w:rPr>
    </w:lvl>
    <w:lvl w:ilvl="8" w:tplc="60808238">
      <w:numFmt w:val="bullet"/>
      <w:lvlText w:val="•"/>
      <w:lvlJc w:val="left"/>
      <w:pPr>
        <w:ind w:left="8408" w:hanging="720"/>
      </w:pPr>
      <w:rPr>
        <w:rFonts w:hint="default"/>
        <w:lang w:val="en-US" w:eastAsia="en-US" w:bidi="en-US"/>
      </w:rPr>
    </w:lvl>
  </w:abstractNum>
  <w:abstractNum w:abstractNumId="7" w15:restartNumberingAfterBreak="0">
    <w:nsid w:val="6A5E765F"/>
    <w:multiLevelType w:val="hybridMultilevel"/>
    <w:tmpl w:val="240E85C0"/>
    <w:lvl w:ilvl="0" w:tplc="9BA45510">
      <w:start w:val="4"/>
      <w:numFmt w:val="decimal"/>
      <w:lvlText w:val="%1"/>
      <w:lvlJc w:val="left"/>
      <w:pPr>
        <w:ind w:left="3122" w:hanging="2763"/>
        <w:jc w:val="left"/>
      </w:pPr>
      <w:rPr>
        <w:rFonts w:ascii="Times New Roman" w:eastAsia="Times New Roman" w:hAnsi="Times New Roman" w:cs="Times New Roman" w:hint="default"/>
        <w:b w:val="0"/>
        <w:bCs w:val="0"/>
        <w:spacing w:val="-4"/>
        <w:w w:val="99"/>
        <w:sz w:val="24"/>
        <w:szCs w:val="24"/>
        <w:lang w:val="en-US" w:eastAsia="en-US" w:bidi="en-US"/>
      </w:rPr>
    </w:lvl>
    <w:lvl w:ilvl="1" w:tplc="6EE81970">
      <w:numFmt w:val="bullet"/>
      <w:lvlText w:val="•"/>
      <w:lvlJc w:val="left"/>
      <w:pPr>
        <w:ind w:left="3838" w:hanging="2763"/>
      </w:pPr>
      <w:rPr>
        <w:rFonts w:hint="default"/>
        <w:lang w:val="en-US" w:eastAsia="en-US" w:bidi="en-US"/>
      </w:rPr>
    </w:lvl>
    <w:lvl w:ilvl="2" w:tplc="4B182B9C">
      <w:numFmt w:val="bullet"/>
      <w:lvlText w:val="•"/>
      <w:lvlJc w:val="left"/>
      <w:pPr>
        <w:ind w:left="4556" w:hanging="2763"/>
      </w:pPr>
      <w:rPr>
        <w:rFonts w:hint="default"/>
        <w:lang w:val="en-US" w:eastAsia="en-US" w:bidi="en-US"/>
      </w:rPr>
    </w:lvl>
    <w:lvl w:ilvl="3" w:tplc="78A835AC">
      <w:numFmt w:val="bullet"/>
      <w:lvlText w:val="•"/>
      <w:lvlJc w:val="left"/>
      <w:pPr>
        <w:ind w:left="5274" w:hanging="2763"/>
      </w:pPr>
      <w:rPr>
        <w:rFonts w:hint="default"/>
        <w:lang w:val="en-US" w:eastAsia="en-US" w:bidi="en-US"/>
      </w:rPr>
    </w:lvl>
    <w:lvl w:ilvl="4" w:tplc="8E225AD2">
      <w:numFmt w:val="bullet"/>
      <w:lvlText w:val="•"/>
      <w:lvlJc w:val="left"/>
      <w:pPr>
        <w:ind w:left="5992" w:hanging="2763"/>
      </w:pPr>
      <w:rPr>
        <w:rFonts w:hint="default"/>
        <w:lang w:val="en-US" w:eastAsia="en-US" w:bidi="en-US"/>
      </w:rPr>
    </w:lvl>
    <w:lvl w:ilvl="5" w:tplc="953234C4">
      <w:numFmt w:val="bullet"/>
      <w:lvlText w:val="•"/>
      <w:lvlJc w:val="left"/>
      <w:pPr>
        <w:ind w:left="6710" w:hanging="2763"/>
      </w:pPr>
      <w:rPr>
        <w:rFonts w:hint="default"/>
        <w:lang w:val="en-US" w:eastAsia="en-US" w:bidi="en-US"/>
      </w:rPr>
    </w:lvl>
    <w:lvl w:ilvl="6" w:tplc="C31CB32C">
      <w:numFmt w:val="bullet"/>
      <w:lvlText w:val="•"/>
      <w:lvlJc w:val="left"/>
      <w:pPr>
        <w:ind w:left="7428" w:hanging="2763"/>
      </w:pPr>
      <w:rPr>
        <w:rFonts w:hint="default"/>
        <w:lang w:val="en-US" w:eastAsia="en-US" w:bidi="en-US"/>
      </w:rPr>
    </w:lvl>
    <w:lvl w:ilvl="7" w:tplc="10C265AC">
      <w:numFmt w:val="bullet"/>
      <w:lvlText w:val="•"/>
      <w:lvlJc w:val="left"/>
      <w:pPr>
        <w:ind w:left="8146" w:hanging="2763"/>
      </w:pPr>
      <w:rPr>
        <w:rFonts w:hint="default"/>
        <w:lang w:val="en-US" w:eastAsia="en-US" w:bidi="en-US"/>
      </w:rPr>
    </w:lvl>
    <w:lvl w:ilvl="8" w:tplc="E54C599C">
      <w:numFmt w:val="bullet"/>
      <w:lvlText w:val="•"/>
      <w:lvlJc w:val="left"/>
      <w:pPr>
        <w:ind w:left="8864" w:hanging="2763"/>
      </w:pPr>
      <w:rPr>
        <w:rFonts w:hint="default"/>
        <w:lang w:val="en-US" w:eastAsia="en-US" w:bidi="en-US"/>
      </w:rPr>
    </w:lvl>
  </w:abstractNum>
  <w:abstractNum w:abstractNumId="8" w15:restartNumberingAfterBreak="0">
    <w:nsid w:val="74C75232"/>
    <w:multiLevelType w:val="hybridMultilevel"/>
    <w:tmpl w:val="0D7E1712"/>
    <w:lvl w:ilvl="0" w:tplc="60D2B5C8">
      <w:start w:val="99"/>
      <w:numFmt w:val="decimal"/>
      <w:lvlText w:val="%1"/>
      <w:lvlJc w:val="left"/>
      <w:pPr>
        <w:ind w:left="840" w:hanging="600"/>
        <w:jc w:val="right"/>
      </w:pPr>
      <w:rPr>
        <w:rFonts w:ascii="Times New Roman" w:eastAsia="Times New Roman" w:hAnsi="Times New Roman" w:cs="Times New Roman" w:hint="default"/>
        <w:spacing w:val="-1"/>
        <w:w w:val="99"/>
        <w:sz w:val="24"/>
        <w:szCs w:val="24"/>
        <w:lang w:val="en-US" w:eastAsia="en-US" w:bidi="en-US"/>
      </w:rPr>
    </w:lvl>
    <w:lvl w:ilvl="1" w:tplc="339683D0">
      <w:numFmt w:val="bullet"/>
      <w:lvlText w:val="•"/>
      <w:lvlJc w:val="left"/>
      <w:pPr>
        <w:ind w:left="1786" w:hanging="600"/>
      </w:pPr>
      <w:rPr>
        <w:rFonts w:hint="default"/>
        <w:lang w:val="en-US" w:eastAsia="en-US" w:bidi="en-US"/>
      </w:rPr>
    </w:lvl>
    <w:lvl w:ilvl="2" w:tplc="5CEC3366">
      <w:numFmt w:val="bullet"/>
      <w:lvlText w:val="•"/>
      <w:lvlJc w:val="left"/>
      <w:pPr>
        <w:ind w:left="2732" w:hanging="600"/>
      </w:pPr>
      <w:rPr>
        <w:rFonts w:hint="default"/>
        <w:lang w:val="en-US" w:eastAsia="en-US" w:bidi="en-US"/>
      </w:rPr>
    </w:lvl>
    <w:lvl w:ilvl="3" w:tplc="53404F38">
      <w:numFmt w:val="bullet"/>
      <w:lvlText w:val="•"/>
      <w:lvlJc w:val="left"/>
      <w:pPr>
        <w:ind w:left="3678" w:hanging="600"/>
      </w:pPr>
      <w:rPr>
        <w:rFonts w:hint="default"/>
        <w:lang w:val="en-US" w:eastAsia="en-US" w:bidi="en-US"/>
      </w:rPr>
    </w:lvl>
    <w:lvl w:ilvl="4" w:tplc="6FBAD53A">
      <w:numFmt w:val="bullet"/>
      <w:lvlText w:val="•"/>
      <w:lvlJc w:val="left"/>
      <w:pPr>
        <w:ind w:left="4624" w:hanging="600"/>
      </w:pPr>
      <w:rPr>
        <w:rFonts w:hint="default"/>
        <w:lang w:val="en-US" w:eastAsia="en-US" w:bidi="en-US"/>
      </w:rPr>
    </w:lvl>
    <w:lvl w:ilvl="5" w:tplc="A852DDCE">
      <w:numFmt w:val="bullet"/>
      <w:lvlText w:val="•"/>
      <w:lvlJc w:val="left"/>
      <w:pPr>
        <w:ind w:left="5570" w:hanging="600"/>
      </w:pPr>
      <w:rPr>
        <w:rFonts w:hint="default"/>
        <w:lang w:val="en-US" w:eastAsia="en-US" w:bidi="en-US"/>
      </w:rPr>
    </w:lvl>
    <w:lvl w:ilvl="6" w:tplc="C5F03B2A">
      <w:numFmt w:val="bullet"/>
      <w:lvlText w:val="•"/>
      <w:lvlJc w:val="left"/>
      <w:pPr>
        <w:ind w:left="6516" w:hanging="600"/>
      </w:pPr>
      <w:rPr>
        <w:rFonts w:hint="default"/>
        <w:lang w:val="en-US" w:eastAsia="en-US" w:bidi="en-US"/>
      </w:rPr>
    </w:lvl>
    <w:lvl w:ilvl="7" w:tplc="1EB8FC7C">
      <w:numFmt w:val="bullet"/>
      <w:lvlText w:val="•"/>
      <w:lvlJc w:val="left"/>
      <w:pPr>
        <w:ind w:left="7462" w:hanging="600"/>
      </w:pPr>
      <w:rPr>
        <w:rFonts w:hint="default"/>
        <w:lang w:val="en-US" w:eastAsia="en-US" w:bidi="en-US"/>
      </w:rPr>
    </w:lvl>
    <w:lvl w:ilvl="8" w:tplc="B23A08E2">
      <w:numFmt w:val="bullet"/>
      <w:lvlText w:val="•"/>
      <w:lvlJc w:val="left"/>
      <w:pPr>
        <w:ind w:left="8408" w:hanging="600"/>
      </w:pPr>
      <w:rPr>
        <w:rFonts w:hint="default"/>
        <w:lang w:val="en-US" w:eastAsia="en-US" w:bidi="en-US"/>
      </w:rPr>
    </w:lvl>
  </w:abstractNum>
  <w:num w:numId="1">
    <w:abstractNumId w:val="6"/>
  </w:num>
  <w:num w:numId="2">
    <w:abstractNumId w:val="0"/>
  </w:num>
  <w:num w:numId="3">
    <w:abstractNumId w:val="8"/>
  </w:num>
  <w:num w:numId="4">
    <w:abstractNumId w:val="1"/>
  </w:num>
  <w:num w:numId="5">
    <w:abstractNumId w:val="5"/>
  </w:num>
  <w:num w:numId="6">
    <w:abstractNumId w:val="7"/>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E84"/>
    <w:rsid w:val="00031AC7"/>
    <w:rsid w:val="001B1484"/>
    <w:rsid w:val="0025018A"/>
    <w:rsid w:val="00391C28"/>
    <w:rsid w:val="004065C4"/>
    <w:rsid w:val="004B428F"/>
    <w:rsid w:val="004C5E84"/>
    <w:rsid w:val="004F3F1D"/>
    <w:rsid w:val="006558F5"/>
    <w:rsid w:val="008B6369"/>
    <w:rsid w:val="008D2E89"/>
    <w:rsid w:val="00916436"/>
    <w:rsid w:val="00997F93"/>
    <w:rsid w:val="00A06901"/>
    <w:rsid w:val="00A425E9"/>
    <w:rsid w:val="00A824B5"/>
    <w:rsid w:val="00AD3138"/>
    <w:rsid w:val="00AE2408"/>
    <w:rsid w:val="00B026A0"/>
    <w:rsid w:val="00BC0198"/>
    <w:rsid w:val="00C354B8"/>
    <w:rsid w:val="00C433D2"/>
    <w:rsid w:val="00CB0E56"/>
    <w:rsid w:val="00CE55DA"/>
    <w:rsid w:val="00D83A76"/>
    <w:rsid w:val="00DF0310"/>
    <w:rsid w:val="00EB0AD8"/>
    <w:rsid w:val="00F83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B6A69"/>
  <w15:docId w15:val="{C2AE0760-A96A-4A6B-9921-08507605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pPr>
      <w:spacing w:before="45"/>
      <w:ind w:left="360"/>
      <w:outlineLvl w:val="0"/>
    </w:pPr>
    <w:rPr>
      <w:b/>
      <w:bCs/>
      <w:sz w:val="28"/>
      <w:szCs w:val="28"/>
    </w:rPr>
  </w:style>
  <w:style w:type="paragraph" w:styleId="Heading2">
    <w:name w:val="heading 2"/>
    <w:basedOn w:val="Normal"/>
    <w:uiPriority w:val="9"/>
    <w:unhideWhenUsed/>
    <w:qFormat/>
    <w:pPr>
      <w:ind w:left="840" w:hanging="60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7"/>
      <w:ind w:left="840"/>
    </w:pPr>
    <w:rPr>
      <w:sz w:val="24"/>
      <w:szCs w:val="24"/>
    </w:rPr>
  </w:style>
  <w:style w:type="paragraph" w:styleId="ListParagraph">
    <w:name w:val="List Paragraph"/>
    <w:basedOn w:val="Normal"/>
    <w:uiPriority w:val="1"/>
    <w:qFormat/>
    <w:pPr>
      <w:spacing w:before="137"/>
      <w:ind w:left="840" w:hanging="600"/>
    </w:pPr>
  </w:style>
  <w:style w:type="paragraph" w:customStyle="1" w:styleId="TableParagraph">
    <w:name w:val="Table Paragraph"/>
    <w:basedOn w:val="Normal"/>
    <w:uiPriority w:val="1"/>
    <w:qFormat/>
  </w:style>
  <w:style w:type="character" w:styleId="LineNumber">
    <w:name w:val="line number"/>
    <w:basedOn w:val="DefaultParagraphFont"/>
    <w:uiPriority w:val="99"/>
    <w:semiHidden/>
    <w:unhideWhenUsed/>
    <w:rsid w:val="00EB0AD8"/>
  </w:style>
  <w:style w:type="character" w:customStyle="1" w:styleId="Heading1Char">
    <w:name w:val="Heading 1 Char"/>
    <w:link w:val="Heading1"/>
    <w:uiPriority w:val="9"/>
    <w:rsid w:val="00EB0AD8"/>
    <w:rPr>
      <w:rFonts w:ascii="Times New Roman" w:eastAsia="Times New Roman" w:hAnsi="Times New Roman" w:cs="Times New Roman"/>
      <w:b/>
      <w:bCs/>
      <w:sz w:val="28"/>
      <w:szCs w:val="28"/>
      <w:lang w:bidi="en-US"/>
    </w:rPr>
  </w:style>
  <w:style w:type="paragraph" w:styleId="NormalWeb">
    <w:name w:val="Normal (Web)"/>
    <w:basedOn w:val="Normal"/>
    <w:uiPriority w:val="99"/>
    <w:rsid w:val="00EB0AD8"/>
    <w:pPr>
      <w:widowControl/>
      <w:autoSpaceDE/>
      <w:autoSpaceDN/>
      <w:spacing w:before="100" w:beforeAutospacing="1" w:after="100" w:afterAutospacing="1"/>
    </w:pPr>
    <w:rPr>
      <w:sz w:val="24"/>
      <w:szCs w:val="24"/>
      <w:lang w:bidi="ar-SA"/>
    </w:rPr>
  </w:style>
  <w:style w:type="paragraph" w:styleId="Header">
    <w:name w:val="header"/>
    <w:basedOn w:val="Normal"/>
    <w:link w:val="HeaderChar"/>
    <w:uiPriority w:val="99"/>
    <w:unhideWhenUsed/>
    <w:rsid w:val="0025018A"/>
    <w:pPr>
      <w:tabs>
        <w:tab w:val="center" w:pos="4680"/>
        <w:tab w:val="right" w:pos="9360"/>
      </w:tabs>
    </w:pPr>
  </w:style>
  <w:style w:type="character" w:customStyle="1" w:styleId="HeaderChar">
    <w:name w:val="Header Char"/>
    <w:basedOn w:val="DefaultParagraphFont"/>
    <w:link w:val="Header"/>
    <w:uiPriority w:val="99"/>
    <w:rsid w:val="0025018A"/>
    <w:rPr>
      <w:rFonts w:ascii="Times New Roman" w:eastAsia="Times New Roman" w:hAnsi="Times New Roman" w:cs="Times New Roman"/>
      <w:lang w:bidi="en-US"/>
    </w:rPr>
  </w:style>
  <w:style w:type="paragraph" w:styleId="Footer">
    <w:name w:val="footer"/>
    <w:basedOn w:val="Normal"/>
    <w:link w:val="FooterChar"/>
    <w:uiPriority w:val="99"/>
    <w:unhideWhenUsed/>
    <w:rsid w:val="0025018A"/>
    <w:pPr>
      <w:tabs>
        <w:tab w:val="center" w:pos="4680"/>
        <w:tab w:val="right" w:pos="9360"/>
      </w:tabs>
    </w:pPr>
  </w:style>
  <w:style w:type="character" w:customStyle="1" w:styleId="FooterChar">
    <w:name w:val="Footer Char"/>
    <w:basedOn w:val="DefaultParagraphFont"/>
    <w:link w:val="Footer"/>
    <w:uiPriority w:val="99"/>
    <w:rsid w:val="0025018A"/>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ouseOfficers@aapa.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Guidelines for Papers and Policy Brief</vt:lpstr>
    </vt:vector>
  </TitlesOfParts>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Papers and Policy Brief</dc:title>
  <dc:creator>Stephen Hanson</dc:creator>
  <cp:lastModifiedBy>Tom Shoemaker</cp:lastModifiedBy>
  <cp:revision>6</cp:revision>
  <dcterms:created xsi:type="dcterms:W3CDTF">2021-01-27T15:15:00Z</dcterms:created>
  <dcterms:modified xsi:type="dcterms:W3CDTF">2021-09-22T12:36:00Z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Acrobat PDFMaker 18 for Word</vt:lpwstr>
  </property>
  <property fmtid="{D5CDD505-2E9C-101B-9397-08002B2CF9AE}" pid="4" name="LastSaved">
    <vt:filetime>2019-07-01T00:00:00Z</vt:filetime>
  </property>
</Properties>
</file>