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8C154" w14:textId="77777777" w:rsidR="00D849B9" w:rsidRPr="00E04FAB" w:rsidRDefault="00D849B9" w:rsidP="00D849B9">
      <w:pPr>
        <w:tabs>
          <w:tab w:val="left" w:pos="2160"/>
          <w:tab w:val="left" w:pos="2907"/>
          <w:tab w:val="left" w:pos="3330"/>
        </w:tabs>
        <w:spacing w:after="0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04FAB">
        <w:rPr>
          <w:rFonts w:ascii="Times New Roman" w:hAnsi="Times New Roman" w:cs="Times New Roman"/>
          <w:b/>
          <w:sz w:val="40"/>
          <w:szCs w:val="40"/>
        </w:rPr>
        <w:t xml:space="preserve">2019-C-07           </w:t>
      </w:r>
      <w:r w:rsidRPr="00E04FAB">
        <w:rPr>
          <w:rFonts w:ascii="Times New Roman" w:hAnsi="Times New Roman" w:cs="Times New Roman"/>
          <w:b/>
          <w:sz w:val="40"/>
          <w:szCs w:val="40"/>
        </w:rPr>
        <w:tab/>
      </w:r>
      <w:r w:rsidRPr="00E04FAB">
        <w:rPr>
          <w:rFonts w:ascii="Times New Roman" w:hAnsi="Times New Roman" w:cs="Times New Roman"/>
          <w:b/>
          <w:sz w:val="40"/>
          <w:szCs w:val="40"/>
        </w:rPr>
        <w:tab/>
      </w:r>
      <w:r w:rsidRPr="00E04FAB">
        <w:rPr>
          <w:rFonts w:ascii="Times New Roman" w:hAnsi="Times New Roman" w:cs="Times New Roman"/>
          <w:b/>
          <w:sz w:val="40"/>
          <w:szCs w:val="40"/>
        </w:rPr>
        <w:tab/>
      </w:r>
    </w:p>
    <w:p w14:paraId="723D718E" w14:textId="77777777" w:rsidR="00D849B9" w:rsidRPr="00D849B9" w:rsidRDefault="00D849B9" w:rsidP="00D849B9">
      <w:pPr>
        <w:spacing w:after="0"/>
        <w:ind w:left="720"/>
        <w:rPr>
          <w:rFonts w:ascii="Times New Roman" w:hAnsi="Times New Roman" w:cs="Times New Roman"/>
          <w:sz w:val="40"/>
          <w:szCs w:val="40"/>
        </w:rPr>
      </w:pPr>
    </w:p>
    <w:p w14:paraId="3A3A3DB6" w14:textId="77777777" w:rsidR="00D849B9" w:rsidRPr="00D849B9" w:rsidRDefault="00D849B9" w:rsidP="00D849B9">
      <w:pPr>
        <w:pStyle w:val="BodyTextIndent2"/>
        <w:spacing w:after="0" w:line="240" w:lineRule="auto"/>
        <w:ind w:left="720"/>
        <w:rPr>
          <w:color w:val="000000"/>
          <w:sz w:val="40"/>
          <w:szCs w:val="40"/>
        </w:rPr>
      </w:pPr>
      <w:bookmarkStart w:id="0" w:name="_Hlk2371164"/>
      <w:r w:rsidRPr="00D849B9">
        <w:rPr>
          <w:color w:val="000000"/>
          <w:sz w:val="40"/>
          <w:szCs w:val="40"/>
        </w:rPr>
        <w:t xml:space="preserve">The HOD recommends </w:t>
      </w:r>
      <w:bookmarkEnd w:id="0"/>
      <w:r w:rsidRPr="00D849B9">
        <w:rPr>
          <w:color w:val="000000"/>
          <w:sz w:val="40"/>
          <w:szCs w:val="40"/>
        </w:rPr>
        <w:t>that AAPA provide in</w:t>
      </w:r>
      <w:bookmarkStart w:id="1" w:name="_GoBack"/>
      <w:bookmarkEnd w:id="1"/>
      <w:r w:rsidRPr="00D849B9">
        <w:rPr>
          <w:color w:val="000000"/>
          <w:sz w:val="40"/>
          <w:szCs w:val="40"/>
        </w:rPr>
        <w:t>creased Category 1 CME credit for precepting to better incentivize preceptorship and to recognize the learning value of precepting.</w:t>
      </w:r>
    </w:p>
    <w:p w14:paraId="675E42F6" w14:textId="77777777" w:rsidR="00D849B9" w:rsidRPr="00D849B9" w:rsidRDefault="00D849B9" w:rsidP="00D849B9">
      <w:pPr>
        <w:pStyle w:val="BodyTextIndent2"/>
        <w:spacing w:after="0" w:line="240" w:lineRule="auto"/>
        <w:ind w:left="720"/>
        <w:rPr>
          <w:color w:val="000000"/>
          <w:sz w:val="40"/>
          <w:szCs w:val="40"/>
        </w:rPr>
      </w:pPr>
    </w:p>
    <w:p w14:paraId="263BBB06" w14:textId="77777777" w:rsidR="00D849B9" w:rsidRPr="00D849B9" w:rsidRDefault="00D849B9" w:rsidP="00D849B9">
      <w:pPr>
        <w:pStyle w:val="BodyTextIndent2"/>
        <w:spacing w:after="0" w:line="240" w:lineRule="auto"/>
        <w:ind w:left="0"/>
        <w:rPr>
          <w:color w:val="000000"/>
          <w:sz w:val="40"/>
          <w:szCs w:val="40"/>
          <w:u w:val="single"/>
        </w:rPr>
      </w:pPr>
      <w:r w:rsidRPr="00D849B9">
        <w:rPr>
          <w:color w:val="000000"/>
          <w:sz w:val="40"/>
          <w:szCs w:val="40"/>
          <w:u w:val="single"/>
        </w:rPr>
        <w:t xml:space="preserve">Further resolved </w:t>
      </w:r>
    </w:p>
    <w:p w14:paraId="5C829EFC" w14:textId="77777777" w:rsidR="00D849B9" w:rsidRPr="00D849B9" w:rsidRDefault="00D849B9" w:rsidP="00D849B9">
      <w:pPr>
        <w:pStyle w:val="BodyTextIndent2"/>
        <w:spacing w:after="0" w:line="240" w:lineRule="auto"/>
        <w:ind w:left="1440" w:firstLine="720"/>
        <w:rPr>
          <w:color w:val="000000"/>
          <w:sz w:val="40"/>
          <w:szCs w:val="40"/>
          <w:u w:val="single"/>
        </w:rPr>
      </w:pPr>
    </w:p>
    <w:p w14:paraId="1A1A002B" w14:textId="77777777" w:rsidR="00D849B9" w:rsidRPr="00D849B9" w:rsidRDefault="00D849B9" w:rsidP="00D849B9">
      <w:pPr>
        <w:pStyle w:val="BodyTextIndent2"/>
        <w:spacing w:after="0" w:line="240" w:lineRule="auto"/>
        <w:ind w:left="720"/>
        <w:rPr>
          <w:color w:val="000000"/>
          <w:sz w:val="40"/>
          <w:szCs w:val="40"/>
        </w:rPr>
      </w:pPr>
      <w:r w:rsidRPr="00D849B9">
        <w:rPr>
          <w:color w:val="000000"/>
          <w:sz w:val="40"/>
          <w:szCs w:val="40"/>
        </w:rPr>
        <w:t xml:space="preserve">The HOD recommends: That PAs may earn a maximum of 20 hours of AAPA Category 1 CME credit for clinical precepting during any single calendar year; That hours accrued in excess of the maximum 20 hours of Category 1 CME Credit may be applied as Category II CME credit; That PAs may earn 2 hours per week for one student or fellow and additional 1 hour per week for each additional student or fellow up to a maximum of 5 hours per week. </w:t>
      </w:r>
    </w:p>
    <w:p w14:paraId="72852432" w14:textId="77777777" w:rsidR="00052E8B" w:rsidRDefault="00052E8B"/>
    <w:p w14:paraId="78CA834D" w14:textId="77777777" w:rsidR="00D849B9" w:rsidRDefault="00D849B9"/>
    <w:p w14:paraId="0C1C2BF8" w14:textId="77777777" w:rsidR="00D849B9" w:rsidRPr="00692796" w:rsidRDefault="00D849B9" w:rsidP="00D849B9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A2ECA" wp14:editId="05E1CE5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AE5EC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FCF7A79" w14:textId="77777777" w:rsidR="00D849B9" w:rsidRPr="00692796" w:rsidRDefault="00D849B9" w:rsidP="00D849B9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Author’s 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459A4255" w14:textId="77777777" w:rsidR="00D849B9" w:rsidRPr="00692796" w:rsidRDefault="00D849B9" w:rsidP="00D849B9">
      <w:pPr>
        <w:rPr>
          <w:rFonts w:ascii="Times New Roman" w:hAnsi="Times New Roman" w:cs="Times New Roman"/>
          <w:sz w:val="24"/>
          <w:szCs w:val="24"/>
        </w:rPr>
      </w:pPr>
    </w:p>
    <w:p w14:paraId="49EF9091" w14:textId="77777777" w:rsidR="00D849B9" w:rsidRPr="00692796" w:rsidRDefault="00D849B9" w:rsidP="00D849B9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2B54947" wp14:editId="3FC8FDB0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3B8AA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0689F4C7" w14:textId="77777777" w:rsidR="00D849B9" w:rsidRPr="00692796" w:rsidRDefault="00D849B9" w:rsidP="00D849B9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7580318F" w14:textId="77777777" w:rsidR="00D849B9" w:rsidRDefault="00D849B9"/>
    <w:sectPr w:rsidR="00D849B9" w:rsidSect="00D849B9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9B9"/>
    <w:rsid w:val="00052E8B"/>
    <w:rsid w:val="00D849B9"/>
    <w:rsid w:val="00E0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FEB4A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9B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D849B9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D849B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2</cp:revision>
  <dcterms:created xsi:type="dcterms:W3CDTF">2019-05-19T14:42:00Z</dcterms:created>
  <dcterms:modified xsi:type="dcterms:W3CDTF">2019-05-19T15:15:00Z</dcterms:modified>
</cp:coreProperties>
</file>