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9E55" w14:textId="77777777" w:rsidR="002C41A5" w:rsidRPr="00EC6885" w:rsidRDefault="002C41A5" w:rsidP="002C41A5">
      <w:pPr>
        <w:spacing w:before="89"/>
        <w:ind w:left="891" w:right="938"/>
        <w:jc w:val="center"/>
        <w:rPr>
          <w:rFonts w:ascii="Aptos" w:hAnsi="Aptos"/>
          <w:sz w:val="32"/>
        </w:rPr>
      </w:pPr>
      <w:r w:rsidRPr="00EC6885">
        <w:rPr>
          <w:rFonts w:ascii="Aptos" w:hAnsi="Aptos"/>
          <w:sz w:val="32"/>
          <w:shd w:val="clear" w:color="auto" w:fill="FFFF00"/>
        </w:rPr>
        <w:t>Name of CME Provider</w:t>
      </w:r>
    </w:p>
    <w:p w14:paraId="70C6FD3D" w14:textId="77777777" w:rsidR="002C41A5" w:rsidRPr="00EC6885" w:rsidRDefault="002C41A5" w:rsidP="002C41A5">
      <w:pPr>
        <w:pStyle w:val="BodyText"/>
        <w:spacing w:before="4"/>
        <w:rPr>
          <w:rFonts w:ascii="Aptos" w:hAnsi="Aptos"/>
          <w:sz w:val="32"/>
        </w:rPr>
      </w:pPr>
    </w:p>
    <w:p w14:paraId="1CEE0F9D" w14:textId="77777777" w:rsidR="002C41A5" w:rsidRPr="00EC6885" w:rsidRDefault="002C41A5" w:rsidP="002C41A5">
      <w:pPr>
        <w:jc w:val="center"/>
        <w:rPr>
          <w:rFonts w:ascii="Aptos" w:hAnsi="Aptos"/>
          <w:b/>
          <w:bCs/>
          <w:sz w:val="32"/>
          <w:szCs w:val="32"/>
        </w:rPr>
      </w:pPr>
      <w:r w:rsidRPr="00EC6885">
        <w:rPr>
          <w:rFonts w:ascii="Aptos" w:hAnsi="Aptos"/>
          <w:b/>
          <w:bCs/>
          <w:sz w:val="32"/>
          <w:szCs w:val="32"/>
        </w:rPr>
        <w:t>Certificate of Attendance</w:t>
      </w:r>
    </w:p>
    <w:p w14:paraId="73D9B6A6" w14:textId="77777777" w:rsidR="002C41A5" w:rsidRPr="00EC6885" w:rsidRDefault="002C41A5" w:rsidP="002C41A5">
      <w:pPr>
        <w:spacing w:before="11"/>
        <w:ind w:left="894" w:right="938"/>
        <w:jc w:val="center"/>
        <w:rPr>
          <w:rFonts w:ascii="Aptos" w:hAnsi="Aptos"/>
          <w:sz w:val="28"/>
        </w:rPr>
      </w:pPr>
    </w:p>
    <w:p w14:paraId="0240FC7D" w14:textId="75EB4EE1" w:rsidR="002C41A5" w:rsidRPr="00EC6885" w:rsidRDefault="002C41A5" w:rsidP="002C41A5">
      <w:pPr>
        <w:spacing w:before="11"/>
        <w:ind w:left="894" w:right="938"/>
        <w:jc w:val="center"/>
        <w:rPr>
          <w:rFonts w:ascii="Aptos" w:hAnsi="Aptos"/>
          <w:sz w:val="28"/>
        </w:rPr>
      </w:pPr>
      <w:r w:rsidRPr="00EC6885">
        <w:rPr>
          <w:rFonts w:ascii="Aptos" w:hAnsi="Aptos"/>
          <w:sz w:val="28"/>
        </w:rPr>
        <w:t>This certifies that</w:t>
      </w:r>
    </w:p>
    <w:p w14:paraId="1222F665" w14:textId="77777777" w:rsidR="002C41A5" w:rsidRPr="00EC6885" w:rsidRDefault="002C41A5" w:rsidP="002C41A5">
      <w:pPr>
        <w:pStyle w:val="BodyText"/>
        <w:rPr>
          <w:rFonts w:ascii="Aptos" w:hAnsi="Aptos"/>
          <w:sz w:val="20"/>
        </w:rPr>
      </w:pPr>
    </w:p>
    <w:p w14:paraId="62532FE6" w14:textId="77777777" w:rsidR="002C41A5" w:rsidRPr="00EC6885" w:rsidRDefault="002C41A5" w:rsidP="002C41A5">
      <w:pPr>
        <w:pStyle w:val="BodyText"/>
        <w:rPr>
          <w:rFonts w:ascii="Aptos" w:hAnsi="Aptos"/>
          <w:sz w:val="20"/>
        </w:rPr>
      </w:pPr>
    </w:p>
    <w:p w14:paraId="2C6165AB" w14:textId="77777777" w:rsidR="002C41A5" w:rsidRPr="00EC6885" w:rsidRDefault="002C41A5" w:rsidP="002C41A5">
      <w:pPr>
        <w:spacing w:before="11"/>
        <w:ind w:left="894" w:right="938"/>
        <w:jc w:val="center"/>
        <w:rPr>
          <w:rFonts w:ascii="Aptos" w:hAnsi="Aptos"/>
          <w:sz w:val="28"/>
        </w:rPr>
      </w:pPr>
      <w:r w:rsidRPr="00EC6885">
        <w:rPr>
          <w:rFonts w:ascii="Aptos" w:hAnsi="Aptos"/>
          <w:sz w:val="28"/>
          <w:highlight w:val="yellow"/>
        </w:rPr>
        <w:t>Learner’s Name</w:t>
      </w:r>
      <w:r w:rsidRPr="00EC6885">
        <w:rPr>
          <w:rFonts w:ascii="Aptos" w:hAnsi="Aptos"/>
          <w:sz w:val="28"/>
        </w:rPr>
        <w:t xml:space="preserve"> </w:t>
      </w:r>
    </w:p>
    <w:p w14:paraId="2F86262B" w14:textId="77777777" w:rsidR="002C41A5" w:rsidRPr="00EC6885" w:rsidRDefault="002C41A5" w:rsidP="002C41A5">
      <w:pPr>
        <w:pStyle w:val="BodyText"/>
        <w:rPr>
          <w:rFonts w:ascii="Aptos" w:hAnsi="Aptos"/>
          <w:sz w:val="20"/>
        </w:rPr>
      </w:pPr>
    </w:p>
    <w:p w14:paraId="4872F951" w14:textId="77777777" w:rsidR="002C41A5" w:rsidRPr="00EC6885" w:rsidRDefault="002C41A5" w:rsidP="002C41A5">
      <w:pPr>
        <w:spacing w:before="217"/>
        <w:ind w:left="894" w:right="938"/>
        <w:jc w:val="center"/>
        <w:rPr>
          <w:rFonts w:ascii="Aptos" w:hAnsi="Aptos"/>
          <w:sz w:val="28"/>
        </w:rPr>
      </w:pPr>
      <w:r w:rsidRPr="00EC6885">
        <w:rPr>
          <w:rFonts w:ascii="Aptos" w:hAnsi="Aptos"/>
          <w:sz w:val="28"/>
        </w:rPr>
        <w:t>attended the educational program entitled</w:t>
      </w:r>
    </w:p>
    <w:p w14:paraId="7DD36D04" w14:textId="77777777" w:rsidR="002C41A5" w:rsidRPr="00EC6885" w:rsidRDefault="002C41A5" w:rsidP="002C41A5">
      <w:pPr>
        <w:pStyle w:val="BodyText"/>
        <w:spacing w:before="2"/>
        <w:rPr>
          <w:rFonts w:ascii="Aptos" w:hAnsi="Aptos"/>
          <w:sz w:val="35"/>
        </w:rPr>
      </w:pPr>
    </w:p>
    <w:p w14:paraId="330A356E" w14:textId="77777777" w:rsidR="002C41A5" w:rsidRPr="00EC6885" w:rsidRDefault="002C41A5" w:rsidP="002C41A5">
      <w:pPr>
        <w:spacing w:line="321" w:lineRule="exact"/>
        <w:ind w:left="892" w:right="938"/>
        <w:jc w:val="center"/>
        <w:rPr>
          <w:rFonts w:ascii="Aptos" w:hAnsi="Aptos"/>
          <w:b/>
          <w:sz w:val="28"/>
        </w:rPr>
      </w:pPr>
      <w:r w:rsidRPr="00EC6885">
        <w:rPr>
          <w:rFonts w:ascii="Aptos" w:hAnsi="Aptos"/>
          <w:b/>
          <w:sz w:val="28"/>
          <w:shd w:val="clear" w:color="auto" w:fill="FFFF00"/>
        </w:rPr>
        <w:t>Title of Event</w:t>
      </w:r>
    </w:p>
    <w:p w14:paraId="29B083EB" w14:textId="77777777" w:rsidR="002C41A5" w:rsidRPr="00EC6885" w:rsidRDefault="002C41A5" w:rsidP="002C41A5">
      <w:pPr>
        <w:spacing w:line="321" w:lineRule="exact"/>
        <w:ind w:left="892" w:right="938"/>
        <w:jc w:val="center"/>
        <w:rPr>
          <w:rFonts w:ascii="Aptos" w:hAnsi="Aptos"/>
          <w:sz w:val="28"/>
        </w:rPr>
      </w:pPr>
      <w:r w:rsidRPr="00EC6885">
        <w:rPr>
          <w:rFonts w:ascii="Aptos" w:hAnsi="Aptos"/>
          <w:sz w:val="28"/>
          <w:shd w:val="clear" w:color="auto" w:fill="FFFF00"/>
        </w:rPr>
        <w:t>Date of Event</w:t>
      </w:r>
    </w:p>
    <w:p w14:paraId="73C1A8BB" w14:textId="77777777" w:rsidR="002C41A5" w:rsidRPr="00EC6885" w:rsidRDefault="002C41A5" w:rsidP="002C41A5">
      <w:pPr>
        <w:pStyle w:val="BodyText"/>
        <w:spacing w:before="7"/>
        <w:rPr>
          <w:rFonts w:ascii="Aptos" w:hAnsi="Aptos"/>
          <w:sz w:val="27"/>
        </w:rPr>
      </w:pPr>
    </w:p>
    <w:p w14:paraId="24174B2B" w14:textId="3BBFAEA9" w:rsidR="00737E8E" w:rsidRPr="00EC6885" w:rsidRDefault="00737E8E" w:rsidP="00737E8E">
      <w:pPr>
        <w:pStyle w:val="NormalWeb"/>
        <w:rPr>
          <w:rFonts w:ascii="Aptos" w:hAnsi="Aptos"/>
        </w:rPr>
      </w:pPr>
      <w:r w:rsidRPr="00EC6885">
        <w:rPr>
          <w:rStyle w:val="Emphasis"/>
          <w:rFonts w:ascii="Aptos" w:eastAsiaTheme="majorEastAsia" w:hAnsi="Aptos"/>
          <w:i w:val="0"/>
          <w:iCs w:val="0"/>
        </w:rPr>
        <w:t xml:space="preserve">This Performance Improvement CME activity has been reviewed by the AAPA Review Panel and is compliant with AAPA CME Criteria. This activity is designated for a maximum of </w:t>
      </w:r>
      <w:r w:rsidR="00EC6885" w:rsidRPr="000450B3">
        <w:rPr>
          <w:rStyle w:val="Emphasis"/>
          <w:rFonts w:ascii="Aptos" w:eastAsiaTheme="majorEastAsia" w:hAnsi="Aptos"/>
          <w:i w:val="0"/>
          <w:iCs w:val="0"/>
          <w:highlight w:val="yellow"/>
        </w:rPr>
        <w:t>X.X</w:t>
      </w:r>
      <w:r w:rsidRPr="00EC6885">
        <w:rPr>
          <w:rStyle w:val="Emphasis"/>
          <w:rFonts w:ascii="Aptos" w:eastAsiaTheme="majorEastAsia" w:hAnsi="Aptos"/>
          <w:i w:val="0"/>
          <w:iCs w:val="0"/>
        </w:rPr>
        <w:t xml:space="preserve"> AAPA Category 1 PI-CME credits. Approval is valid from </w:t>
      </w:r>
      <w:r w:rsidR="00EC6885" w:rsidRPr="006A7C8B">
        <w:rPr>
          <w:rStyle w:val="Emphasis"/>
          <w:rFonts w:ascii="Aptos" w:eastAsiaTheme="majorEastAsia" w:hAnsi="Aptos"/>
          <w:i w:val="0"/>
          <w:iCs w:val="0"/>
          <w:highlight w:val="yellow"/>
        </w:rPr>
        <w:t>Start Date</w:t>
      </w:r>
      <w:r w:rsidRPr="00EC6885">
        <w:rPr>
          <w:rStyle w:val="Emphasis"/>
          <w:rFonts w:ascii="Aptos" w:eastAsiaTheme="majorEastAsia" w:hAnsi="Aptos"/>
          <w:i w:val="0"/>
          <w:iCs w:val="0"/>
        </w:rPr>
        <w:t xml:space="preserve"> to </w:t>
      </w:r>
      <w:r w:rsidR="00EC6885" w:rsidRPr="006A7C8B">
        <w:rPr>
          <w:rStyle w:val="Emphasis"/>
          <w:rFonts w:ascii="Aptos" w:eastAsiaTheme="majorEastAsia" w:hAnsi="Aptos"/>
          <w:i w:val="0"/>
          <w:iCs w:val="0"/>
          <w:highlight w:val="yellow"/>
        </w:rPr>
        <w:t>End Date</w:t>
      </w:r>
      <w:r w:rsidRPr="00EC6885">
        <w:rPr>
          <w:rStyle w:val="Emphasis"/>
          <w:rFonts w:ascii="Aptos" w:eastAsiaTheme="majorEastAsia" w:hAnsi="Aptos"/>
          <w:i w:val="0"/>
          <w:iCs w:val="0"/>
        </w:rPr>
        <w:t>. PAs should only claim credit commensurate with the extent of their participation. AAPA reference number: CME-</w:t>
      </w:r>
      <w:r w:rsidR="00EC6885" w:rsidRPr="006A7C8B">
        <w:rPr>
          <w:rStyle w:val="Emphasis"/>
          <w:rFonts w:ascii="Aptos" w:eastAsiaTheme="majorEastAsia" w:hAnsi="Aptos"/>
          <w:i w:val="0"/>
          <w:iCs w:val="0"/>
          <w:highlight w:val="yellow"/>
        </w:rPr>
        <w:t>#######</w:t>
      </w:r>
      <w:r w:rsidRPr="00EC6885">
        <w:rPr>
          <w:rStyle w:val="Emphasis"/>
          <w:rFonts w:ascii="Aptos" w:eastAsiaTheme="majorEastAsia" w:hAnsi="Aptos"/>
          <w:i w:val="0"/>
          <w:iCs w:val="0"/>
        </w:rPr>
        <w:t>.</w:t>
      </w:r>
    </w:p>
    <w:p w14:paraId="2CAB6EE3" w14:textId="7631C3A3" w:rsidR="00737E8E" w:rsidRPr="00EC6885" w:rsidRDefault="00737E8E" w:rsidP="00737E8E">
      <w:pPr>
        <w:pStyle w:val="NormalWeb"/>
        <w:rPr>
          <w:rFonts w:ascii="Aptos" w:hAnsi="Aptos"/>
        </w:rPr>
      </w:pPr>
      <w:r w:rsidRPr="00EC6885">
        <w:rPr>
          <w:rFonts w:ascii="Aptos" w:hAnsi="Aptos"/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6903C338" wp14:editId="1F25DFB9">
            <wp:simplePos x="0" y="0"/>
            <wp:positionH relativeFrom="column">
              <wp:posOffset>2684183</wp:posOffset>
            </wp:positionH>
            <wp:positionV relativeFrom="paragraph">
              <wp:posOffset>747294</wp:posOffset>
            </wp:positionV>
            <wp:extent cx="1629410" cy="1575435"/>
            <wp:effectExtent l="0" t="0" r="0" b="0"/>
            <wp:wrapTopAndBottom/>
            <wp:docPr id="1088442928" name="Picture 4" descr="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42928" name="Picture 4" descr="A blue circle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885">
        <w:rPr>
          <w:rStyle w:val="Emphasis"/>
          <w:rFonts w:ascii="Aptos" w:eastAsiaTheme="majorEastAsia" w:hAnsi="Aptos"/>
          <w:i w:val="0"/>
          <w:iCs w:val="0"/>
        </w:rPr>
        <w:t>For NCCPA certification maintenance ONLY,</w:t>
      </w:r>
      <w:r w:rsidRPr="00EC6885">
        <w:rPr>
          <w:rStyle w:val="Strong"/>
          <w:rFonts w:ascii="Aptos" w:eastAsiaTheme="majorEastAsia" w:hAnsi="Aptos"/>
        </w:rPr>
        <w:t> </w:t>
      </w:r>
      <w:r w:rsidRPr="00EC6885">
        <w:rPr>
          <w:rStyle w:val="Emphasis"/>
          <w:rFonts w:ascii="Aptos" w:eastAsiaTheme="majorEastAsia" w:hAnsi="Aptos"/>
          <w:i w:val="0"/>
          <w:iCs w:val="0"/>
        </w:rPr>
        <w:t xml:space="preserve">the first </w:t>
      </w:r>
      <w:r w:rsidR="00EC6885">
        <w:rPr>
          <w:rStyle w:val="Emphasis"/>
          <w:rFonts w:ascii="Aptos" w:eastAsiaTheme="majorEastAsia" w:hAnsi="Aptos"/>
          <w:i w:val="0"/>
          <w:iCs w:val="0"/>
        </w:rPr>
        <w:t>20</w:t>
      </w:r>
      <w:r w:rsidRPr="00EC6885">
        <w:rPr>
          <w:rStyle w:val="Emphasis"/>
          <w:rFonts w:ascii="Aptos" w:eastAsiaTheme="majorEastAsia" w:hAnsi="Aptos"/>
          <w:i w:val="0"/>
          <w:iCs w:val="0"/>
        </w:rPr>
        <w:t xml:space="preserve"> PI-CME credits logged during every two-year cycle will be doubled by NCCPA. PAs should log up to a maximum of </w:t>
      </w:r>
      <w:r w:rsidR="006A7C8B" w:rsidRPr="006A7C8B">
        <w:rPr>
          <w:rStyle w:val="Emphasis"/>
          <w:rFonts w:ascii="Aptos" w:eastAsiaTheme="majorEastAsia" w:hAnsi="Aptos"/>
          <w:i w:val="0"/>
          <w:iCs w:val="0"/>
          <w:highlight w:val="yellow"/>
        </w:rPr>
        <w:t>X.X</w:t>
      </w:r>
      <w:r w:rsidRPr="00EC6885">
        <w:rPr>
          <w:rStyle w:val="Strong"/>
          <w:rFonts w:ascii="Aptos" w:eastAsiaTheme="majorEastAsia" w:hAnsi="Aptos"/>
        </w:rPr>
        <w:t> </w:t>
      </w:r>
      <w:r w:rsidRPr="00EC6885">
        <w:rPr>
          <w:rStyle w:val="Emphasis"/>
          <w:rFonts w:ascii="Aptos" w:eastAsiaTheme="majorEastAsia" w:hAnsi="Aptos"/>
          <w:i w:val="0"/>
          <w:iCs w:val="0"/>
        </w:rPr>
        <w:t>AAPA Category 1 PI-CME credits, as the additional weighting will be automatically applied by NCCPA.</w:t>
      </w:r>
    </w:p>
    <w:p w14:paraId="70A502BA" w14:textId="0C82E88E" w:rsidR="00AB2AAE" w:rsidRDefault="00AB2AAE" w:rsidP="002C41A5">
      <w:pPr>
        <w:widowControl/>
        <w:autoSpaceDE/>
        <w:autoSpaceDN/>
        <w:spacing w:after="160" w:line="278" w:lineRule="auto"/>
      </w:pPr>
    </w:p>
    <w:sectPr w:rsidR="00AB2AAE" w:rsidSect="004F1C21">
      <w:pgSz w:w="15840" w:h="12240" w:orient="landscape"/>
      <w:pgMar w:top="1140" w:right="2260" w:bottom="280" w:left="22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21"/>
    <w:rsid w:val="000450B3"/>
    <w:rsid w:val="002C41A5"/>
    <w:rsid w:val="00314D05"/>
    <w:rsid w:val="003A5109"/>
    <w:rsid w:val="004F1C21"/>
    <w:rsid w:val="00500B92"/>
    <w:rsid w:val="006A7C8B"/>
    <w:rsid w:val="006D6472"/>
    <w:rsid w:val="00737E8E"/>
    <w:rsid w:val="00737F34"/>
    <w:rsid w:val="00751AAE"/>
    <w:rsid w:val="00AB2AAE"/>
    <w:rsid w:val="00C90F3A"/>
    <w:rsid w:val="00D23B93"/>
    <w:rsid w:val="00D41684"/>
    <w:rsid w:val="00DF4B0D"/>
    <w:rsid w:val="00EB3C26"/>
    <w:rsid w:val="00E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7A33"/>
  <w15:chartTrackingRefBased/>
  <w15:docId w15:val="{F9942A00-4ADC-42BD-9A9A-D03BC1DE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1C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1C2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C2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C2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C2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C2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C2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C2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C2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C2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C2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C2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C2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C2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C2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C2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1C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1C21"/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7E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7E8E"/>
    <w:rPr>
      <w:i/>
      <w:iCs/>
    </w:rPr>
  </w:style>
  <w:style w:type="character" w:styleId="Strong">
    <w:name w:val="Strong"/>
    <w:basedOn w:val="DefaultParagraphFont"/>
    <w:uiPriority w:val="22"/>
    <w:qFormat/>
    <w:rsid w:val="00737E8E"/>
    <w:rPr>
      <w:b/>
      <w:bCs/>
    </w:rPr>
  </w:style>
  <w:style w:type="paragraph" w:styleId="Revision">
    <w:name w:val="Revision"/>
    <w:hidden/>
    <w:uiPriority w:val="99"/>
    <w:semiHidden/>
    <w:rsid w:val="003A5109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Kardash</dc:creator>
  <cp:keywords/>
  <dc:description/>
  <cp:lastModifiedBy>Michele Hoang</cp:lastModifiedBy>
  <cp:revision>4</cp:revision>
  <dcterms:created xsi:type="dcterms:W3CDTF">2025-04-03T17:09:00Z</dcterms:created>
  <dcterms:modified xsi:type="dcterms:W3CDTF">2025-05-08T15:23:00Z</dcterms:modified>
</cp:coreProperties>
</file>